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7C" w:rsidRPr="00ED797C" w:rsidRDefault="00ED797C" w:rsidP="00DD2CB6">
      <w:pPr>
        <w:pStyle w:val="Heading2"/>
        <w:ind w:left="851" w:right="-1"/>
        <w:jc w:val="center"/>
        <w:rPr>
          <w:rFonts w:ascii="Trebuchet MS" w:hAnsi="Trebuchet MS"/>
          <w:b/>
          <w:i w:val="0"/>
          <w:szCs w:val="22"/>
          <w:lang w:val="ro-RO"/>
        </w:rPr>
      </w:pPr>
    </w:p>
    <w:p w:rsidR="000C64C7" w:rsidRPr="00ED797C" w:rsidRDefault="000C64C7" w:rsidP="00DD2CB6">
      <w:pPr>
        <w:pStyle w:val="Heading2"/>
        <w:ind w:left="851" w:right="-1"/>
        <w:jc w:val="center"/>
        <w:rPr>
          <w:rFonts w:ascii="Trebuchet MS" w:hAnsi="Trebuchet MS"/>
          <w:b/>
          <w:i w:val="0"/>
          <w:szCs w:val="22"/>
          <w:lang w:val="ro-RO"/>
        </w:rPr>
      </w:pPr>
      <w:r w:rsidRPr="00ED797C">
        <w:rPr>
          <w:rFonts w:ascii="Trebuchet MS" w:hAnsi="Trebuchet MS"/>
          <w:b/>
          <w:i w:val="0"/>
          <w:szCs w:val="22"/>
          <w:lang w:val="ro-RO"/>
        </w:rPr>
        <w:t>COMUNICAT DE PRESĂ</w:t>
      </w:r>
    </w:p>
    <w:p w:rsidR="000C64C7" w:rsidRPr="00ED797C" w:rsidRDefault="000C64C7" w:rsidP="00DD2CB6">
      <w:pPr>
        <w:spacing w:after="0" w:line="240" w:lineRule="auto"/>
        <w:ind w:left="851" w:right="-1"/>
        <w:jc w:val="both"/>
        <w:rPr>
          <w:rFonts w:ascii="Trebuchet MS" w:hAnsi="Trebuchet MS"/>
        </w:rPr>
      </w:pPr>
    </w:p>
    <w:p w:rsidR="001E3751" w:rsidRPr="00BE52E3" w:rsidRDefault="000C64C7" w:rsidP="00DD2CB6">
      <w:pPr>
        <w:spacing w:after="0" w:line="240" w:lineRule="auto"/>
        <w:ind w:left="851" w:right="-1"/>
        <w:jc w:val="center"/>
        <w:rPr>
          <w:rFonts w:ascii="Trebuchet MS" w:hAnsi="Trebuchet MS"/>
          <w:b/>
          <w:color w:val="0000FF"/>
        </w:rPr>
      </w:pPr>
      <w:r w:rsidRPr="00BE52E3">
        <w:rPr>
          <w:rFonts w:ascii="Trebuchet MS" w:hAnsi="Trebuchet MS"/>
          <w:b/>
          <w:color w:val="0000FF"/>
        </w:rPr>
        <w:t xml:space="preserve">POR 2014-2020: </w:t>
      </w:r>
      <w:r w:rsidR="001E3751" w:rsidRPr="00BE52E3">
        <w:rPr>
          <w:rFonts w:ascii="Trebuchet MS" w:hAnsi="Trebuchet MS"/>
          <w:b/>
          <w:color w:val="0000FF"/>
        </w:rPr>
        <w:t xml:space="preserve">103 milioane euro în perioada 25 mai-25 noiembrie 2016 </w:t>
      </w:r>
    </w:p>
    <w:p w:rsidR="001E3751" w:rsidRPr="00BE52E3" w:rsidRDefault="001E3751" w:rsidP="00DD2CB6">
      <w:pPr>
        <w:spacing w:after="0" w:line="240" w:lineRule="auto"/>
        <w:ind w:left="851" w:right="-1"/>
        <w:jc w:val="center"/>
        <w:rPr>
          <w:rFonts w:ascii="Trebuchet MS" w:hAnsi="Trebuchet MS"/>
          <w:b/>
          <w:color w:val="0000FF"/>
        </w:rPr>
      </w:pPr>
      <w:r w:rsidRPr="00BE52E3">
        <w:rPr>
          <w:rFonts w:ascii="Trebuchet MS" w:hAnsi="Trebuchet MS"/>
          <w:b/>
          <w:color w:val="0000FF"/>
        </w:rPr>
        <w:t xml:space="preserve">pentru </w:t>
      </w:r>
      <w:r w:rsidR="003B1013">
        <w:rPr>
          <w:rFonts w:ascii="Trebuchet MS" w:hAnsi="Trebuchet MS"/>
          <w:b/>
          <w:color w:val="0000FF"/>
        </w:rPr>
        <w:t xml:space="preserve">apelul de </w:t>
      </w:r>
      <w:r w:rsidRPr="00BE52E3">
        <w:rPr>
          <w:rFonts w:ascii="Trebuchet MS" w:hAnsi="Trebuchet MS"/>
          <w:b/>
          <w:color w:val="0000FF"/>
        </w:rPr>
        <w:t>proiecte</w:t>
      </w:r>
      <w:r w:rsidR="00FC6650" w:rsidRPr="00BE52E3">
        <w:rPr>
          <w:rFonts w:ascii="Trebuchet MS" w:hAnsi="Trebuchet MS"/>
          <w:b/>
          <w:color w:val="0000FF"/>
        </w:rPr>
        <w:t xml:space="preserve"> de</w:t>
      </w:r>
      <w:r w:rsidRPr="00BE52E3">
        <w:rPr>
          <w:rFonts w:ascii="Trebuchet MS" w:hAnsi="Trebuchet MS"/>
          <w:b/>
          <w:color w:val="0000FF"/>
        </w:rPr>
        <w:t xml:space="preserve"> </w:t>
      </w:r>
      <w:r w:rsidR="00FC6650" w:rsidRPr="00BE52E3">
        <w:rPr>
          <w:rFonts w:ascii="Trebuchet MS" w:hAnsi="Trebuchet MS"/>
          <w:b/>
          <w:color w:val="0000FF"/>
        </w:rPr>
        <w:t>îmbunătăţire a mediului urban</w:t>
      </w:r>
      <w:r w:rsidRPr="00BE52E3">
        <w:rPr>
          <w:rFonts w:ascii="Trebuchet MS" w:hAnsi="Trebuchet MS"/>
          <w:b/>
          <w:color w:val="0000FF"/>
        </w:rPr>
        <w:t xml:space="preserve"> (PI 5.</w:t>
      </w:r>
      <w:r w:rsidR="00FC6650" w:rsidRPr="00BE52E3">
        <w:rPr>
          <w:rFonts w:ascii="Trebuchet MS" w:hAnsi="Trebuchet MS"/>
          <w:b/>
          <w:color w:val="0000FF"/>
        </w:rPr>
        <w:t>2</w:t>
      </w:r>
      <w:r w:rsidRPr="00BE52E3">
        <w:rPr>
          <w:rFonts w:ascii="Trebuchet MS" w:hAnsi="Trebuchet MS"/>
          <w:b/>
          <w:color w:val="0000FF"/>
        </w:rPr>
        <w:t>)</w:t>
      </w:r>
    </w:p>
    <w:p w:rsidR="001E3751" w:rsidRPr="00ED797C" w:rsidRDefault="001E3751" w:rsidP="00DD2CB6">
      <w:pPr>
        <w:spacing w:after="0" w:line="240" w:lineRule="auto"/>
        <w:ind w:left="851" w:right="-1"/>
        <w:jc w:val="center"/>
        <w:rPr>
          <w:rFonts w:ascii="Trebuchet MS" w:hAnsi="Trebuchet MS"/>
          <w:b/>
        </w:rPr>
      </w:pPr>
    </w:p>
    <w:p w:rsidR="007D3B9B" w:rsidRPr="00ED797C" w:rsidRDefault="007D3B9B" w:rsidP="00DD2CB6">
      <w:pPr>
        <w:spacing w:after="0" w:line="240" w:lineRule="auto"/>
        <w:ind w:left="851" w:right="-1"/>
        <w:jc w:val="both"/>
        <w:rPr>
          <w:rFonts w:ascii="Trebuchet MS" w:hAnsi="Trebuchet MS"/>
          <w:b/>
        </w:rPr>
      </w:pPr>
    </w:p>
    <w:p w:rsidR="007D3B9B" w:rsidRPr="00ED797C" w:rsidRDefault="00421FDA" w:rsidP="00DD2CB6">
      <w:pPr>
        <w:spacing w:after="0" w:line="240" w:lineRule="auto"/>
        <w:ind w:left="851" w:right="-1"/>
        <w:jc w:val="both"/>
        <w:rPr>
          <w:rFonts w:ascii="Trebuchet MS" w:hAnsi="Trebuchet MS"/>
        </w:rPr>
      </w:pPr>
      <w:r w:rsidRPr="00ED797C">
        <w:rPr>
          <w:rFonts w:ascii="Trebuchet MS" w:hAnsi="Trebuchet MS"/>
        </w:rPr>
        <w:t xml:space="preserve">Proiectele </w:t>
      </w:r>
      <w:r w:rsidR="001E3751" w:rsidRPr="00ED797C">
        <w:rPr>
          <w:rFonts w:ascii="Trebuchet MS" w:hAnsi="Trebuchet MS"/>
        </w:rPr>
        <w:t xml:space="preserve">destinate </w:t>
      </w:r>
      <w:r w:rsidRPr="00ED797C">
        <w:rPr>
          <w:rFonts w:ascii="Trebuchet MS" w:hAnsi="Trebuchet MS"/>
        </w:rPr>
        <w:t>mediului urban pot fi depuse</w:t>
      </w:r>
      <w:r w:rsidR="0075275F" w:rsidRPr="00ED797C">
        <w:rPr>
          <w:rFonts w:ascii="Trebuchet MS" w:hAnsi="Trebuchet MS"/>
        </w:rPr>
        <w:t xml:space="preserve"> spre finanţare</w:t>
      </w:r>
      <w:r w:rsidRPr="00ED797C">
        <w:rPr>
          <w:rFonts w:ascii="Trebuchet MS" w:hAnsi="Trebuchet MS"/>
        </w:rPr>
        <w:t xml:space="preserve"> prin </w:t>
      </w:r>
      <w:r w:rsidRPr="00ED797C">
        <w:rPr>
          <w:rFonts w:ascii="Trebuchet MS" w:hAnsi="Trebuchet MS"/>
          <w:b/>
        </w:rPr>
        <w:t xml:space="preserve">Programul </w:t>
      </w:r>
      <w:r w:rsidR="00FC6650" w:rsidRPr="00ED797C">
        <w:rPr>
          <w:rFonts w:ascii="Trebuchet MS" w:hAnsi="Trebuchet MS"/>
          <w:b/>
        </w:rPr>
        <w:t xml:space="preserve">Operaţional Regional </w:t>
      </w:r>
      <w:r w:rsidR="007D3B9B" w:rsidRPr="00ED797C">
        <w:rPr>
          <w:rFonts w:ascii="Trebuchet MS" w:hAnsi="Trebuchet MS"/>
          <w:b/>
        </w:rPr>
        <w:t>2014-2020</w:t>
      </w:r>
      <w:r w:rsidR="0075275F" w:rsidRPr="00ED797C">
        <w:rPr>
          <w:rFonts w:ascii="Trebuchet MS" w:hAnsi="Trebuchet MS"/>
        </w:rPr>
        <w:t xml:space="preserve">, în perioada </w:t>
      </w:r>
      <w:r w:rsidR="0075275F" w:rsidRPr="00ED797C">
        <w:rPr>
          <w:rFonts w:ascii="Trebuchet MS" w:hAnsi="Trebuchet MS"/>
          <w:b/>
        </w:rPr>
        <w:t>25 mai, ora 12:00 - 25 noiembrie 2016, ora 12:00</w:t>
      </w:r>
      <w:r w:rsidR="0075275F" w:rsidRPr="00ED797C">
        <w:rPr>
          <w:rFonts w:ascii="Trebuchet MS" w:hAnsi="Trebuchet MS"/>
        </w:rPr>
        <w:t xml:space="preserve">. </w:t>
      </w:r>
      <w:r w:rsidR="007D3B9B" w:rsidRPr="00ED797C">
        <w:rPr>
          <w:rFonts w:ascii="Trebuchet MS" w:hAnsi="Trebuchet MS"/>
        </w:rPr>
        <w:t xml:space="preserve"> Proiectele se depun în cadrul Axei prioritare 5 - Imbunătăţirea mediului urban şi conservarea, protecţia şi valorificarea durabilă a patrimoniului cultural, </w:t>
      </w:r>
      <w:r w:rsidR="007D3B9B" w:rsidRPr="00ED797C">
        <w:rPr>
          <w:rFonts w:ascii="Trebuchet MS" w:hAnsi="Trebuchet MS"/>
          <w:b/>
        </w:rPr>
        <w:t xml:space="preserve">Prioritatea de investiţii </w:t>
      </w:r>
      <w:r w:rsidR="007D3B9B" w:rsidRPr="00ED797C">
        <w:rPr>
          <w:rFonts w:ascii="Trebuchet MS" w:hAnsi="Trebuchet MS" w:cs="Arial"/>
          <w:b/>
          <w:bCs/>
          <w:color w:val="000000"/>
        </w:rPr>
        <w:t>5.2</w:t>
      </w:r>
      <w:r w:rsidR="007D3B9B" w:rsidRPr="00ED797C">
        <w:rPr>
          <w:rFonts w:ascii="Trebuchet MS" w:hAnsi="Trebuchet MS" w:cs="Arial"/>
          <w:bCs/>
          <w:color w:val="000000"/>
        </w:rPr>
        <w:t xml:space="preserve"> -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r w:rsidR="007D3B9B" w:rsidRPr="00ED797C">
        <w:rPr>
          <w:rFonts w:ascii="Trebuchet MS" w:hAnsi="Trebuchet MS"/>
        </w:rPr>
        <w:t>.</w:t>
      </w:r>
    </w:p>
    <w:p w:rsidR="007D3B9B" w:rsidRPr="00ED797C" w:rsidRDefault="007D3B9B" w:rsidP="00DD2CB6">
      <w:pPr>
        <w:spacing w:after="0" w:line="240" w:lineRule="auto"/>
        <w:ind w:left="851" w:right="-1"/>
        <w:jc w:val="both"/>
        <w:rPr>
          <w:rFonts w:ascii="Trebuchet MS" w:hAnsi="Trebuchet MS"/>
          <w:b/>
        </w:rPr>
      </w:pPr>
    </w:p>
    <w:p w:rsidR="0075275F" w:rsidRPr="00ED797C" w:rsidRDefault="0075275F" w:rsidP="0075275F">
      <w:pPr>
        <w:spacing w:after="0" w:line="240" w:lineRule="auto"/>
        <w:ind w:left="851" w:right="-1"/>
        <w:jc w:val="both"/>
        <w:rPr>
          <w:rFonts w:ascii="Trebuchet MS" w:hAnsi="Trebuchet MS" w:cs="Arial"/>
          <w:bCs/>
          <w:color w:val="000000"/>
        </w:rPr>
      </w:pPr>
      <w:r w:rsidRPr="00ED797C">
        <w:rPr>
          <w:rFonts w:ascii="Trebuchet MS" w:hAnsi="Trebuchet MS" w:cs="Arial"/>
          <w:bCs/>
          <w:color w:val="000000"/>
        </w:rPr>
        <w:t xml:space="preserve">Apelul de proiecte POR/2016/5/5.2/1 a fost lansat vineri, 25 martie a.c., de Ministerul Dezvoltării Regionale şi Administraţiei Publice (MDRAP), în calitate de Autoritate de Management a programului. </w:t>
      </w:r>
    </w:p>
    <w:p w:rsidR="0075275F" w:rsidRPr="00ED797C" w:rsidRDefault="0075275F" w:rsidP="00DD2CB6">
      <w:pPr>
        <w:spacing w:after="0" w:line="240" w:lineRule="auto"/>
        <w:ind w:left="851" w:right="-1"/>
        <w:jc w:val="both"/>
        <w:rPr>
          <w:rFonts w:ascii="Trebuchet MS" w:hAnsi="Trebuchet MS"/>
          <w:b/>
        </w:rPr>
      </w:pPr>
    </w:p>
    <w:p w:rsidR="0075275F" w:rsidRDefault="0075275F" w:rsidP="0075275F">
      <w:pPr>
        <w:spacing w:after="0" w:line="240" w:lineRule="auto"/>
        <w:ind w:left="851" w:right="-1"/>
        <w:jc w:val="both"/>
        <w:rPr>
          <w:rFonts w:ascii="Trebuchet MS" w:hAnsi="Trebuchet MS"/>
        </w:rPr>
      </w:pPr>
      <w:r>
        <w:rPr>
          <w:rFonts w:ascii="Trebuchet MS" w:hAnsi="Trebuchet MS"/>
        </w:rPr>
        <w:t>„</w:t>
      </w:r>
      <w:r w:rsidRPr="0075275F">
        <w:rPr>
          <w:rFonts w:ascii="Trebuchet MS" w:hAnsi="Trebuchet MS"/>
          <w:i/>
        </w:rPr>
        <w:t>Este al patrulea apel de proiecte lansat în acest an p</w:t>
      </w:r>
      <w:r w:rsidR="00622BA4">
        <w:rPr>
          <w:rFonts w:ascii="Trebuchet MS" w:hAnsi="Trebuchet MS"/>
          <w:i/>
        </w:rPr>
        <w:t>rin</w:t>
      </w:r>
      <w:r w:rsidRPr="0075275F">
        <w:rPr>
          <w:rFonts w:ascii="Trebuchet MS" w:hAnsi="Trebuchet MS"/>
          <w:i/>
        </w:rPr>
        <w:t xml:space="preserve"> POR, cu un buget de 103,85 milioane de euro, care va finanţa i</w:t>
      </w:r>
      <w:r w:rsidR="001E3751" w:rsidRPr="0075275F">
        <w:rPr>
          <w:rFonts w:ascii="Trebuchet MS" w:hAnsi="Trebuchet MS"/>
          <w:i/>
        </w:rPr>
        <w:t>nvestiții</w:t>
      </w:r>
      <w:r w:rsidRPr="0075275F">
        <w:rPr>
          <w:rFonts w:ascii="Trebuchet MS" w:hAnsi="Trebuchet MS"/>
          <w:i/>
        </w:rPr>
        <w:t xml:space="preserve"> c</w:t>
      </w:r>
      <w:r w:rsidR="001E3751" w:rsidRPr="0075275F">
        <w:rPr>
          <w:rFonts w:ascii="Trebuchet MS" w:hAnsi="Trebuchet MS"/>
          <w:i/>
        </w:rPr>
        <w:t>e vizează reconversia și</w:t>
      </w:r>
      <w:r w:rsidRPr="0075275F">
        <w:rPr>
          <w:rFonts w:ascii="Trebuchet MS" w:hAnsi="Trebuchet MS"/>
          <w:i/>
        </w:rPr>
        <w:t xml:space="preserve"> </w:t>
      </w:r>
      <w:r w:rsidR="001E3751" w:rsidRPr="0075275F">
        <w:rPr>
          <w:rFonts w:ascii="Trebuchet MS" w:hAnsi="Trebuchet MS"/>
          <w:i/>
        </w:rPr>
        <w:t>reutilizarea terenurilor abandonate și transformarea lor în zone de agrement și recreere pentru populație (parcuri, grădini publice, scuaruri)</w:t>
      </w:r>
      <w:r w:rsidRPr="0075275F">
        <w:rPr>
          <w:rFonts w:ascii="Trebuchet MS" w:hAnsi="Trebuchet MS"/>
          <w:i/>
        </w:rPr>
        <w:t>. Apelul are</w:t>
      </w:r>
      <w:r w:rsidR="001E3751" w:rsidRPr="0075275F">
        <w:rPr>
          <w:rFonts w:ascii="Trebuchet MS" w:hAnsi="Trebuchet MS"/>
          <w:i/>
        </w:rPr>
        <w:t xml:space="preserve"> ca scop îmbunătățirea condițiilor de viață </w:t>
      </w:r>
      <w:r w:rsidRPr="0075275F">
        <w:rPr>
          <w:rFonts w:ascii="Trebuchet MS" w:hAnsi="Trebuchet MS"/>
          <w:i/>
        </w:rPr>
        <w:t>în oraşe</w:t>
      </w:r>
      <w:r w:rsidR="001E3751" w:rsidRPr="0075275F">
        <w:rPr>
          <w:rFonts w:ascii="Trebuchet MS" w:hAnsi="Trebuchet MS"/>
          <w:i/>
        </w:rPr>
        <w:t xml:space="preserve">, </w:t>
      </w:r>
      <w:r w:rsidRPr="0075275F">
        <w:rPr>
          <w:rFonts w:ascii="Trebuchet MS" w:hAnsi="Trebuchet MS"/>
          <w:i/>
        </w:rPr>
        <w:t xml:space="preserve">iar </w:t>
      </w:r>
      <w:r w:rsidR="001E3751" w:rsidRPr="0075275F">
        <w:rPr>
          <w:rFonts w:ascii="Trebuchet MS" w:hAnsi="Trebuchet MS"/>
          <w:i/>
        </w:rPr>
        <w:t>principal</w:t>
      </w:r>
      <w:r w:rsidRPr="0075275F">
        <w:rPr>
          <w:rFonts w:ascii="Trebuchet MS" w:hAnsi="Trebuchet MS"/>
          <w:i/>
        </w:rPr>
        <w:t>ele</w:t>
      </w:r>
      <w:r w:rsidR="001E3751" w:rsidRPr="0075275F">
        <w:rPr>
          <w:rFonts w:ascii="Trebuchet MS" w:hAnsi="Trebuchet MS"/>
          <w:i/>
        </w:rPr>
        <w:t xml:space="preserve"> rezultat</w:t>
      </w:r>
      <w:r w:rsidRPr="0075275F">
        <w:rPr>
          <w:rFonts w:ascii="Trebuchet MS" w:hAnsi="Trebuchet MS"/>
          <w:i/>
        </w:rPr>
        <w:t>e</w:t>
      </w:r>
      <w:r w:rsidR="001E3751" w:rsidRPr="0075275F">
        <w:rPr>
          <w:rFonts w:ascii="Trebuchet MS" w:hAnsi="Trebuchet MS"/>
          <w:i/>
        </w:rPr>
        <w:t xml:space="preserve"> </w:t>
      </w:r>
      <w:r w:rsidRPr="0075275F">
        <w:rPr>
          <w:rFonts w:ascii="Trebuchet MS" w:hAnsi="Trebuchet MS"/>
          <w:i/>
        </w:rPr>
        <w:t xml:space="preserve">aşteptate sunt </w:t>
      </w:r>
      <w:r w:rsidR="001E3751" w:rsidRPr="0075275F">
        <w:rPr>
          <w:rFonts w:ascii="Trebuchet MS" w:hAnsi="Trebuchet MS"/>
          <w:i/>
        </w:rPr>
        <w:t xml:space="preserve">de a crește suprafețele verzi, </w:t>
      </w:r>
      <w:r w:rsidRPr="0075275F">
        <w:rPr>
          <w:rFonts w:ascii="Trebuchet MS" w:hAnsi="Trebuchet MS"/>
          <w:i/>
        </w:rPr>
        <w:t xml:space="preserve">de a </w:t>
      </w:r>
      <w:r w:rsidR="001E3751" w:rsidRPr="0075275F">
        <w:rPr>
          <w:rFonts w:ascii="Trebuchet MS" w:hAnsi="Trebuchet MS"/>
          <w:i/>
        </w:rPr>
        <w:t>satisface nevoi</w:t>
      </w:r>
      <w:r w:rsidRPr="0075275F">
        <w:rPr>
          <w:rFonts w:ascii="Trebuchet MS" w:hAnsi="Trebuchet MS"/>
          <w:i/>
        </w:rPr>
        <w:t>a</w:t>
      </w:r>
      <w:r w:rsidR="001E3751" w:rsidRPr="0075275F">
        <w:rPr>
          <w:rFonts w:ascii="Trebuchet MS" w:hAnsi="Trebuchet MS"/>
          <w:i/>
        </w:rPr>
        <w:t xml:space="preserve"> de agrement și recreere a populaţiei urbane și </w:t>
      </w:r>
      <w:r w:rsidRPr="0075275F">
        <w:rPr>
          <w:rFonts w:ascii="Trebuchet MS" w:hAnsi="Trebuchet MS"/>
          <w:i/>
        </w:rPr>
        <w:t xml:space="preserve">de a </w:t>
      </w:r>
      <w:r w:rsidR="001E3751" w:rsidRPr="0075275F">
        <w:rPr>
          <w:rFonts w:ascii="Trebuchet MS" w:hAnsi="Trebuchet MS"/>
          <w:i/>
        </w:rPr>
        <w:t>reduce nivelul de poluare</w:t>
      </w:r>
      <w:r w:rsidRPr="0075275F">
        <w:rPr>
          <w:rFonts w:ascii="Trebuchet MS" w:hAnsi="Trebuchet MS"/>
          <w:i/>
        </w:rPr>
        <w:t xml:space="preserve"> din oraşe, dar şi</w:t>
      </w:r>
      <w:r w:rsidR="001E3751" w:rsidRPr="0075275F">
        <w:rPr>
          <w:rFonts w:ascii="Trebuchet MS" w:hAnsi="Trebuchet MS"/>
          <w:i/>
        </w:rPr>
        <w:t xml:space="preserve"> îmbunătățirea aspectului este</w:t>
      </w:r>
      <w:r w:rsidRPr="0075275F">
        <w:rPr>
          <w:rFonts w:ascii="Trebuchet MS" w:hAnsi="Trebuchet MS"/>
          <w:i/>
        </w:rPr>
        <w:t>tic al orașelor și municipiilor</w:t>
      </w:r>
      <w:r>
        <w:rPr>
          <w:rFonts w:ascii="Trebuchet MS" w:hAnsi="Trebuchet MS"/>
          <w:lang w:val="en-US"/>
        </w:rPr>
        <w:t>”</w:t>
      </w:r>
      <w:r>
        <w:rPr>
          <w:rFonts w:ascii="Trebuchet MS" w:hAnsi="Trebuchet MS"/>
        </w:rPr>
        <w:t>, a declarat viceprim-ministrul Vasile Dîncu cu ocazia lansării apelului.</w:t>
      </w:r>
    </w:p>
    <w:p w:rsidR="0075275F" w:rsidRDefault="0075275F" w:rsidP="0075275F">
      <w:pPr>
        <w:spacing w:after="0" w:line="240" w:lineRule="auto"/>
        <w:ind w:left="851" w:right="-1"/>
        <w:jc w:val="both"/>
        <w:rPr>
          <w:rFonts w:ascii="Trebuchet MS" w:hAnsi="Trebuchet MS"/>
        </w:rPr>
      </w:pPr>
    </w:p>
    <w:p w:rsidR="0075275F" w:rsidRPr="0075275F" w:rsidRDefault="0075275F" w:rsidP="0075275F">
      <w:pPr>
        <w:spacing w:after="0" w:line="240" w:lineRule="auto"/>
        <w:ind w:left="851" w:right="-1"/>
        <w:jc w:val="both"/>
        <w:rPr>
          <w:rFonts w:ascii="Trebuchet MS" w:hAnsi="Trebuchet MS"/>
          <w:bCs/>
        </w:rPr>
      </w:pPr>
      <w:r w:rsidRPr="0075275F">
        <w:rPr>
          <w:rFonts w:ascii="Trebuchet MS" w:hAnsi="Trebuchet MS"/>
        </w:rPr>
        <w:t xml:space="preserve">Pentru acest apel de proiecte </w:t>
      </w:r>
      <w:r w:rsidRPr="0075275F">
        <w:rPr>
          <w:rFonts w:ascii="Trebuchet MS" w:hAnsi="Trebuchet MS"/>
          <w:b/>
        </w:rPr>
        <w:t>pot solicita finanțare</w:t>
      </w:r>
      <w:r w:rsidRPr="0075275F">
        <w:rPr>
          <w:rFonts w:ascii="Trebuchet MS" w:hAnsi="Trebuchet MS"/>
        </w:rPr>
        <w:t xml:space="preserve"> unitățile administrativ teritoriale din  mediul urban definite conform Legii nr. 215/2001, cu excepția municipiilor reședință de județ, </w:t>
      </w:r>
      <w:r w:rsidRPr="0075275F">
        <w:rPr>
          <w:rFonts w:ascii="Trebuchet MS" w:hAnsi="Trebuchet MS"/>
          <w:bCs/>
        </w:rPr>
        <w:t>și parteneriate între acestea și o unitate administrativ teritorială județ cu lider de parteneriat</w:t>
      </w:r>
      <w:r w:rsidRPr="0075275F">
        <w:t xml:space="preserve"> </w:t>
      </w:r>
      <w:r w:rsidRPr="0075275F">
        <w:rPr>
          <w:rFonts w:ascii="Trebuchet MS" w:hAnsi="Trebuchet MS"/>
          <w:bCs/>
        </w:rPr>
        <w:t xml:space="preserve">unitate administrativ teritorială oraș sau municipiu. </w:t>
      </w:r>
    </w:p>
    <w:p w:rsidR="00BE52E3" w:rsidRDefault="00BE52E3" w:rsidP="00BE52E3">
      <w:pPr>
        <w:spacing w:after="0" w:line="240" w:lineRule="auto"/>
        <w:ind w:left="851" w:right="-1"/>
        <w:jc w:val="both"/>
        <w:rPr>
          <w:rFonts w:ascii="Trebuchet MS" w:hAnsi="Trebuchet MS"/>
          <w:b/>
        </w:rPr>
      </w:pPr>
    </w:p>
    <w:p w:rsidR="00BE52E3" w:rsidRPr="00560915" w:rsidRDefault="00BE52E3" w:rsidP="00BE52E3">
      <w:pPr>
        <w:spacing w:after="0" w:line="240" w:lineRule="auto"/>
        <w:ind w:left="851" w:right="-1"/>
        <w:jc w:val="both"/>
        <w:rPr>
          <w:rFonts w:ascii="Trebuchet MS" w:hAnsi="Trebuchet MS"/>
          <w:b/>
        </w:rPr>
      </w:pPr>
      <w:r w:rsidRPr="00560915">
        <w:rPr>
          <w:rFonts w:ascii="Trebuchet MS" w:hAnsi="Trebuchet MS"/>
          <w:b/>
        </w:rPr>
        <w:t>Depunere</w:t>
      </w:r>
    </w:p>
    <w:p w:rsidR="00BE52E3" w:rsidRPr="00560915" w:rsidRDefault="00BE52E3" w:rsidP="00BE52E3">
      <w:pPr>
        <w:spacing w:after="0" w:line="240" w:lineRule="auto"/>
        <w:ind w:left="851" w:right="-1"/>
        <w:jc w:val="both"/>
        <w:rPr>
          <w:rFonts w:ascii="Trebuchet MS" w:hAnsi="Trebuchet MS"/>
        </w:rPr>
      </w:pPr>
      <w:r w:rsidRPr="00560915">
        <w:rPr>
          <w:rFonts w:ascii="Trebuchet MS" w:hAnsi="Trebuchet MS"/>
        </w:rPr>
        <w:t>Cererea de finanțare se va transmite/depune:</w:t>
      </w:r>
    </w:p>
    <w:p w:rsidR="00BE52E3" w:rsidRPr="00560915" w:rsidRDefault="00BE52E3" w:rsidP="00BE52E3">
      <w:pPr>
        <w:spacing w:after="0" w:line="240" w:lineRule="auto"/>
        <w:ind w:left="851" w:right="-1"/>
        <w:jc w:val="both"/>
        <w:rPr>
          <w:rFonts w:ascii="Trebuchet MS" w:hAnsi="Trebuchet MS"/>
        </w:rPr>
      </w:pPr>
      <w:r w:rsidRPr="00560915">
        <w:rPr>
          <w:rFonts w:ascii="Trebuchet MS" w:hAnsi="Trebuchet MS"/>
        </w:rPr>
        <w:t>•</w:t>
      </w:r>
      <w:r w:rsidRPr="00560915">
        <w:rPr>
          <w:rFonts w:ascii="Trebuchet MS" w:hAnsi="Trebuchet MS"/>
        </w:rPr>
        <w:tab/>
        <w:t>la sediul Agențiilor pentru Dezvoltare Regională;</w:t>
      </w:r>
    </w:p>
    <w:p w:rsidR="00BE52E3" w:rsidRPr="00560915" w:rsidRDefault="00BE52E3" w:rsidP="00BE52E3">
      <w:pPr>
        <w:spacing w:after="0" w:line="240" w:lineRule="auto"/>
        <w:ind w:left="851" w:right="-1"/>
        <w:jc w:val="both"/>
        <w:rPr>
          <w:rFonts w:ascii="Trebuchet MS" w:hAnsi="Trebuchet MS"/>
        </w:rPr>
      </w:pPr>
      <w:r w:rsidRPr="00560915">
        <w:rPr>
          <w:rFonts w:ascii="Trebuchet MS" w:hAnsi="Trebuchet MS"/>
        </w:rPr>
        <w:t>•</w:t>
      </w:r>
      <w:r w:rsidRPr="00560915">
        <w:rPr>
          <w:rFonts w:ascii="Trebuchet MS" w:hAnsi="Trebuchet MS"/>
        </w:rPr>
        <w:tab/>
        <w:t xml:space="preserve">într-un singur exemplar în format tipărit, original, într-un singur colet sigilat. În coletul anterior menționat se va include și un CD cu forma scanată a cererii de finanțare, inclusiv anexele acesteia, în format PDF. </w:t>
      </w:r>
    </w:p>
    <w:p w:rsidR="00622BA4" w:rsidRPr="00560915" w:rsidRDefault="00622BA4" w:rsidP="00622BA4">
      <w:pPr>
        <w:spacing w:after="0" w:line="240" w:lineRule="auto"/>
        <w:ind w:left="851" w:right="-1"/>
        <w:jc w:val="both"/>
        <w:rPr>
          <w:rFonts w:ascii="Trebuchet MS" w:hAnsi="Trebuchet MS"/>
        </w:rPr>
      </w:pPr>
      <w:r w:rsidRPr="00560915">
        <w:rPr>
          <w:rFonts w:ascii="Trebuchet MS" w:hAnsi="Trebuchet MS"/>
        </w:rPr>
        <w:t xml:space="preserve">Imediat ce aplicația electronică MySMIS va </w:t>
      </w:r>
      <w:r>
        <w:rPr>
          <w:rFonts w:ascii="Trebuchet MS" w:hAnsi="Trebuchet MS"/>
        </w:rPr>
        <w:t xml:space="preserve">fi </w:t>
      </w:r>
      <w:r w:rsidRPr="00560915">
        <w:rPr>
          <w:rFonts w:ascii="Trebuchet MS" w:hAnsi="Trebuchet MS"/>
        </w:rPr>
        <w:t>operațional</w:t>
      </w:r>
      <w:r>
        <w:rPr>
          <w:rFonts w:ascii="Trebuchet MS" w:hAnsi="Trebuchet MS"/>
        </w:rPr>
        <w:t>ă</w:t>
      </w:r>
      <w:r w:rsidRPr="00560915">
        <w:rPr>
          <w:rFonts w:ascii="Trebuchet MS" w:hAnsi="Trebuchet MS"/>
        </w:rPr>
        <w:t xml:space="preserve">, </w:t>
      </w:r>
      <w:r>
        <w:rPr>
          <w:rFonts w:ascii="Trebuchet MS" w:hAnsi="Trebuchet MS"/>
        </w:rPr>
        <w:t>MDRAP</w:t>
      </w:r>
      <w:r w:rsidRPr="00560915">
        <w:rPr>
          <w:rFonts w:ascii="Trebuchet MS" w:hAnsi="Trebuchet MS"/>
        </w:rPr>
        <w:t xml:space="preserve"> </w:t>
      </w:r>
      <w:r>
        <w:rPr>
          <w:rFonts w:ascii="Trebuchet MS" w:hAnsi="Trebuchet MS"/>
        </w:rPr>
        <w:t xml:space="preserve">va publica </w:t>
      </w:r>
      <w:r w:rsidRPr="00560915">
        <w:rPr>
          <w:rFonts w:ascii="Trebuchet MS" w:hAnsi="Trebuchet MS"/>
        </w:rPr>
        <w:t xml:space="preserve">un anunț pe site-ul programului </w:t>
      </w:r>
      <w:hyperlink r:id="rId9" w:history="1">
        <w:r w:rsidRPr="0095402F">
          <w:rPr>
            <w:rStyle w:val="Hyperlink"/>
            <w:rFonts w:ascii="Trebuchet MS" w:hAnsi="Trebuchet MS"/>
          </w:rPr>
          <w:t>www.inforegio.ro</w:t>
        </w:r>
      </w:hyperlink>
      <w:r>
        <w:rPr>
          <w:rFonts w:ascii="Trebuchet MS" w:hAnsi="Trebuchet MS"/>
        </w:rPr>
        <w:t>, v</w:t>
      </w:r>
      <w:r w:rsidRPr="00560915">
        <w:rPr>
          <w:rFonts w:ascii="Trebuchet MS" w:hAnsi="Trebuchet MS"/>
        </w:rPr>
        <w:t xml:space="preserve">a întrerupe depunerea cererilor de finanțare </w:t>
      </w:r>
      <w:r>
        <w:rPr>
          <w:rFonts w:ascii="Trebuchet MS" w:hAnsi="Trebuchet MS"/>
        </w:rPr>
        <w:t xml:space="preserve">și va </w:t>
      </w:r>
      <w:r w:rsidRPr="00560915">
        <w:rPr>
          <w:rFonts w:ascii="Trebuchet MS" w:hAnsi="Trebuchet MS"/>
        </w:rPr>
        <w:t>introduc</w:t>
      </w:r>
      <w:r>
        <w:rPr>
          <w:rFonts w:ascii="Trebuchet MS" w:hAnsi="Trebuchet MS"/>
        </w:rPr>
        <w:t>e</w:t>
      </w:r>
      <w:r w:rsidRPr="00560915">
        <w:rPr>
          <w:rFonts w:ascii="Trebuchet MS" w:hAnsi="Trebuchet MS"/>
        </w:rPr>
        <w:t xml:space="preserve"> noul</w:t>
      </w:r>
      <w:r>
        <w:rPr>
          <w:rFonts w:ascii="Trebuchet MS" w:hAnsi="Trebuchet MS"/>
        </w:rPr>
        <w:t xml:space="preserve"> sistem de depunere.</w:t>
      </w:r>
    </w:p>
    <w:p w:rsidR="00BE52E3" w:rsidRDefault="00BE52E3" w:rsidP="00BE52E3">
      <w:pPr>
        <w:spacing w:after="0" w:line="240" w:lineRule="auto"/>
        <w:ind w:left="851" w:right="-1"/>
        <w:jc w:val="both"/>
        <w:rPr>
          <w:rFonts w:ascii="Trebuchet MS" w:hAnsi="Trebuchet MS"/>
        </w:rPr>
      </w:pPr>
    </w:p>
    <w:p w:rsidR="00BE52E3" w:rsidRPr="00BE52E3" w:rsidRDefault="004C5A22" w:rsidP="00BE52E3">
      <w:pPr>
        <w:spacing w:after="0" w:line="240" w:lineRule="auto"/>
        <w:ind w:left="851" w:right="-1"/>
        <w:jc w:val="both"/>
        <w:rPr>
          <w:rFonts w:ascii="Trebuchet MS" w:hAnsi="Trebuchet MS" w:cs="Arial"/>
          <w:bCs/>
          <w:i/>
          <w:color w:val="000000"/>
        </w:rPr>
      </w:pPr>
      <w:hyperlink r:id="rId10" w:history="1">
        <w:r w:rsidR="00BE52E3" w:rsidRPr="00560915">
          <w:rPr>
            <w:rStyle w:val="Hyperlink"/>
            <w:rFonts w:ascii="Trebuchet MS" w:hAnsi="Trebuchet MS" w:cs="Arial"/>
            <w:b/>
            <w:bCs/>
          </w:rPr>
          <w:t>Versiunea finală a Ghidului</w:t>
        </w:r>
        <w:r w:rsidR="00BE52E3" w:rsidRPr="00560915">
          <w:rPr>
            <w:rStyle w:val="Hyperlink"/>
            <w:rFonts w:ascii="Trebuchet MS" w:hAnsi="Trebuchet MS" w:cs="Arial"/>
            <w:bCs/>
          </w:rPr>
          <w:t xml:space="preserve"> </w:t>
        </w:r>
        <w:r w:rsidR="00BE52E3" w:rsidRPr="00560915">
          <w:rPr>
            <w:rStyle w:val="Hyperlink"/>
            <w:rFonts w:ascii="Trebuchet MS" w:hAnsi="Trebuchet MS" w:cs="Arial"/>
            <w:b/>
            <w:bCs/>
          </w:rPr>
          <w:t>Solicitantului</w:t>
        </w:r>
      </w:hyperlink>
      <w:r w:rsidR="00BE52E3" w:rsidRPr="00560915">
        <w:rPr>
          <w:rFonts w:ascii="Trebuchet MS" w:hAnsi="Trebuchet MS" w:cs="Arial"/>
          <w:bCs/>
          <w:i/>
        </w:rPr>
        <w:t xml:space="preserve"> - </w:t>
      </w:r>
      <w:hyperlink r:id="rId11" w:history="1">
        <w:r w:rsidR="00BE52E3" w:rsidRPr="00BE37FC">
          <w:rPr>
            <w:rFonts w:ascii="Trebuchet MS" w:hAnsi="Trebuchet MS" w:cs="Arial"/>
            <w:bCs/>
            <w:i/>
            <w:color w:val="000000"/>
          </w:rPr>
          <w:t>Ghidului Solicitantului- Condiții specifice de accesare a fondurilor în cadrul Apelului de proiecte nr.</w:t>
        </w:r>
      </w:hyperlink>
      <w:r w:rsidR="00BE52E3" w:rsidRPr="00073468">
        <w:t xml:space="preserve"> </w:t>
      </w:r>
      <w:r w:rsidR="00BE52E3" w:rsidRPr="00073468">
        <w:rPr>
          <w:rFonts w:ascii="Trebuchet MS" w:hAnsi="Trebuchet MS" w:cs="Arial"/>
          <w:bCs/>
          <w:i/>
          <w:color w:val="000000"/>
        </w:rPr>
        <w:t>POR/2016/5/5.2/1</w:t>
      </w:r>
      <w:r w:rsidR="00BE52E3" w:rsidRPr="00560915">
        <w:rPr>
          <w:rFonts w:ascii="Trebuchet MS" w:hAnsi="Trebuchet MS" w:cs="Arial"/>
          <w:bCs/>
        </w:rPr>
        <w:t xml:space="preserve"> este publicată </w:t>
      </w:r>
      <w:r w:rsidR="00BE52E3" w:rsidRPr="00560915">
        <w:rPr>
          <w:rFonts w:ascii="Trebuchet MS" w:hAnsi="Trebuchet MS" w:cs="Arial"/>
          <w:bCs/>
          <w:color w:val="000000"/>
        </w:rPr>
        <w:t xml:space="preserve">pe site-ul programului. </w:t>
      </w:r>
      <w:r w:rsidR="00BE52E3" w:rsidRPr="00560915">
        <w:rPr>
          <w:rFonts w:ascii="Trebuchet MS" w:hAnsi="Trebuchet MS" w:cs="Arial"/>
          <w:bCs/>
        </w:rPr>
        <w:t>Ghidul conţine date despre specificitatea proiectelor, modalitatea de completare și de depunere a cererii de finanțare, condiții de eligibilitate, o descriere  a etapelor de verificare, evaluare, selecție, contractare a proiectelor. De asemenea sunt incluse modele ale Cererii de finanțare și a</w:t>
      </w:r>
      <w:r w:rsidR="00622BA4">
        <w:rPr>
          <w:rFonts w:ascii="Trebuchet MS" w:hAnsi="Trebuchet MS" w:cs="Arial"/>
          <w:bCs/>
        </w:rPr>
        <w:t>le</w:t>
      </w:r>
      <w:r w:rsidR="00BE52E3" w:rsidRPr="00560915">
        <w:rPr>
          <w:rFonts w:ascii="Trebuchet MS" w:hAnsi="Trebuchet MS" w:cs="Arial"/>
          <w:bCs/>
        </w:rPr>
        <w:t xml:space="preserve"> Contractului de finanțare. P</w:t>
      </w:r>
      <w:r w:rsidR="00BE52E3" w:rsidRPr="00560915">
        <w:rPr>
          <w:rFonts w:ascii="Trebuchet MS" w:hAnsi="Trebuchet MS"/>
          <w:bCs/>
          <w:color w:val="000000"/>
        </w:rPr>
        <w:t xml:space="preserve">revederile sale se </w:t>
      </w:r>
      <w:r w:rsidR="00BE52E3" w:rsidRPr="00560915">
        <w:rPr>
          <w:rFonts w:ascii="Trebuchet MS" w:hAnsi="Trebuchet MS"/>
          <w:bCs/>
          <w:color w:val="000000"/>
        </w:rPr>
        <w:lastRenderedPageBreak/>
        <w:t xml:space="preserve">vor completa, acolo unde este cazul, cu prevederile </w:t>
      </w:r>
      <w:hyperlink r:id="rId12" w:history="1">
        <w:r w:rsidR="00BE52E3" w:rsidRPr="00560915">
          <w:rPr>
            <w:rStyle w:val="Hyperlink"/>
            <w:rFonts w:ascii="Trebuchet MS" w:hAnsi="Trebuchet MS"/>
            <w:b/>
            <w:bCs/>
          </w:rPr>
          <w:t>Ghidului general al POR 2014-2020</w:t>
        </w:r>
      </w:hyperlink>
      <w:r w:rsidR="00BE52E3" w:rsidRPr="00560915">
        <w:rPr>
          <w:rFonts w:ascii="Trebuchet MS" w:hAnsi="Trebuchet MS"/>
          <w:bCs/>
          <w:color w:val="000000"/>
        </w:rPr>
        <w:t>, intitulat „Ghidul solicitantului – Condiţii generale de accesare a fondurilor în cadrul POR 2014 – 2020”.</w:t>
      </w:r>
    </w:p>
    <w:p w:rsidR="0075275F" w:rsidRDefault="0075275F" w:rsidP="00DD2CB6">
      <w:pPr>
        <w:spacing w:after="0" w:line="240" w:lineRule="auto"/>
        <w:ind w:left="851" w:right="-1"/>
        <w:jc w:val="both"/>
        <w:rPr>
          <w:rFonts w:ascii="Trebuchet MS" w:hAnsi="Trebuchet MS"/>
          <w:lang w:eastAsia="ro-RO"/>
        </w:rPr>
      </w:pPr>
    </w:p>
    <w:p w:rsidR="001E3751" w:rsidRPr="0075275F" w:rsidRDefault="001E3751" w:rsidP="00DD2CB6">
      <w:pPr>
        <w:spacing w:after="0" w:line="240" w:lineRule="auto"/>
        <w:ind w:left="851" w:right="-1"/>
        <w:jc w:val="both"/>
        <w:rPr>
          <w:rFonts w:ascii="Trebuchet MS" w:hAnsi="Trebuchet MS"/>
          <w:b/>
          <w:lang w:eastAsia="ro-RO"/>
        </w:rPr>
      </w:pPr>
      <w:r w:rsidRPr="0075275F">
        <w:rPr>
          <w:rFonts w:ascii="Trebuchet MS" w:hAnsi="Trebuchet MS"/>
          <w:b/>
          <w:lang w:eastAsia="ro-RO"/>
        </w:rPr>
        <w:t>Prioritizarea investiţiilor</w:t>
      </w:r>
    </w:p>
    <w:p w:rsidR="00BE52E3" w:rsidRDefault="001E3751" w:rsidP="00BE52E3">
      <w:pPr>
        <w:spacing w:after="0" w:line="240" w:lineRule="auto"/>
        <w:ind w:left="851" w:right="-1"/>
        <w:jc w:val="both"/>
        <w:rPr>
          <w:rFonts w:ascii="Trebuchet MS" w:hAnsi="Trebuchet MS"/>
          <w:lang w:eastAsia="ro-RO"/>
        </w:rPr>
      </w:pPr>
      <w:r w:rsidRPr="0075275F">
        <w:rPr>
          <w:rFonts w:ascii="Trebuchet MS" w:hAnsi="Trebuchet MS"/>
          <w:lang w:eastAsia="ro-RO"/>
        </w:rPr>
        <w:t xml:space="preserve">Investiţiile în reconversia funcțională și reutilizarea unor terenuri și suprafețe degradate, vacante </w:t>
      </w:r>
      <w:r>
        <w:rPr>
          <w:rFonts w:ascii="Trebuchet MS" w:hAnsi="Trebuchet MS"/>
          <w:lang w:eastAsia="ro-RO"/>
        </w:rPr>
        <w:t>sau neutilizate din interiorul orașelor vor fi prioritizate în funcție de suprafața de spațiu verde/locuitor. Vor avea prioritate la finanțare orașele care înregistr</w:t>
      </w:r>
      <w:r w:rsidR="000F30F0">
        <w:rPr>
          <w:rFonts w:ascii="Trebuchet MS" w:hAnsi="Trebuchet MS"/>
          <w:lang w:eastAsia="ro-RO"/>
        </w:rPr>
        <w:t>e</w:t>
      </w:r>
      <w:r>
        <w:rPr>
          <w:rFonts w:ascii="Trebuchet MS" w:hAnsi="Trebuchet MS"/>
          <w:lang w:eastAsia="ro-RO"/>
        </w:rPr>
        <w:t>ază valori reduse în ceea ce privește suprafața spațiilor verzi</w:t>
      </w:r>
      <w:r w:rsidR="0075275F">
        <w:rPr>
          <w:rFonts w:ascii="Trebuchet MS" w:hAnsi="Trebuchet MS"/>
          <w:lang w:eastAsia="ro-RO"/>
        </w:rPr>
        <w:t>,</w:t>
      </w:r>
      <w:r>
        <w:rPr>
          <w:rFonts w:ascii="Trebuchet MS" w:hAnsi="Trebuchet MS"/>
          <w:lang w:eastAsia="ro-RO"/>
        </w:rPr>
        <w:t xml:space="preserve"> evidențiate în Registul local</w:t>
      </w:r>
      <w:bookmarkStart w:id="0" w:name="_Toc442358566"/>
      <w:r w:rsidR="00BE52E3">
        <w:rPr>
          <w:rFonts w:ascii="Trebuchet MS" w:hAnsi="Trebuchet MS"/>
          <w:lang w:eastAsia="ro-RO"/>
        </w:rPr>
        <w:t xml:space="preserve"> al spațiilor verzi al orașului.</w:t>
      </w:r>
    </w:p>
    <w:p w:rsidR="00BE52E3" w:rsidRDefault="00BE52E3" w:rsidP="00BE52E3">
      <w:pPr>
        <w:spacing w:after="0" w:line="240" w:lineRule="auto"/>
        <w:ind w:left="851" w:right="-1"/>
        <w:jc w:val="both"/>
        <w:rPr>
          <w:rFonts w:ascii="Trebuchet MS" w:hAnsi="Trebuchet MS"/>
          <w:lang w:eastAsia="ro-RO"/>
        </w:rPr>
      </w:pPr>
    </w:p>
    <w:p w:rsidR="001E3751" w:rsidRPr="00BE52E3" w:rsidRDefault="001E3751" w:rsidP="00BE52E3">
      <w:pPr>
        <w:spacing w:after="0" w:line="240" w:lineRule="auto"/>
        <w:ind w:left="851" w:right="-1"/>
        <w:jc w:val="both"/>
        <w:rPr>
          <w:rFonts w:ascii="Trebuchet MS" w:hAnsi="Trebuchet MS"/>
          <w:b/>
          <w:lang w:eastAsia="ro-RO"/>
        </w:rPr>
      </w:pPr>
      <w:r w:rsidRPr="00BE52E3">
        <w:rPr>
          <w:rFonts w:ascii="Trebuchet MS" w:hAnsi="Trebuchet MS"/>
          <w:b/>
        </w:rPr>
        <w:t>Valoare proiect</w:t>
      </w:r>
      <w:bookmarkEnd w:id="0"/>
      <w:r w:rsidRPr="00BE52E3">
        <w:rPr>
          <w:rFonts w:ascii="Trebuchet MS" w:hAnsi="Trebuchet MS"/>
          <w:b/>
        </w:rPr>
        <w:t>:</w:t>
      </w:r>
    </w:p>
    <w:p w:rsidR="001E3751"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Pr>
          <w:rFonts w:ascii="Trebuchet MS" w:hAnsi="Trebuchet MS"/>
        </w:rPr>
        <w:t>Valoare minimă totală: 100.000 Euro</w:t>
      </w:r>
    </w:p>
    <w:p w:rsidR="001E3751"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Pr>
          <w:rFonts w:ascii="Trebuchet MS" w:hAnsi="Trebuchet MS"/>
        </w:rPr>
        <w:t>Valoarea maximă totală este de 5.000.000 Euro,</w:t>
      </w:r>
    </w:p>
    <w:p w:rsidR="001E3751" w:rsidRPr="0075275F" w:rsidRDefault="001E3751" w:rsidP="00BE52E3">
      <w:pPr>
        <w:pStyle w:val="ListParagraph"/>
        <w:tabs>
          <w:tab w:val="left" w:pos="1134"/>
        </w:tabs>
        <w:spacing w:after="0" w:line="240" w:lineRule="auto"/>
        <w:ind w:left="1134" w:right="-1"/>
        <w:jc w:val="both"/>
        <w:rPr>
          <w:rFonts w:ascii="Trebuchet MS" w:hAnsi="Trebuchet MS"/>
        </w:rPr>
      </w:pPr>
    </w:p>
    <w:p w:rsidR="001E3751" w:rsidRDefault="001E3751" w:rsidP="0075275F">
      <w:pPr>
        <w:spacing w:after="0" w:line="240" w:lineRule="auto"/>
        <w:ind w:left="851" w:right="-1"/>
        <w:jc w:val="both"/>
        <w:rPr>
          <w:rFonts w:ascii="Trebuchet MS" w:hAnsi="Trebuchet MS"/>
          <w:lang w:eastAsia="ro-RO"/>
        </w:rPr>
      </w:pPr>
      <w:r w:rsidRPr="00E35805">
        <w:rPr>
          <w:rFonts w:ascii="Trebuchet MS" w:hAnsi="Trebuchet MS"/>
          <w:b/>
          <w:lang w:eastAsia="ro-RO"/>
        </w:rPr>
        <w:t>Ratele de cofinanţare</w:t>
      </w:r>
      <w:r>
        <w:rPr>
          <w:rFonts w:ascii="Trebuchet MS" w:hAnsi="Trebuchet MS"/>
          <w:lang w:eastAsia="ro-RO"/>
        </w:rPr>
        <w:t xml:space="preserve"> aplicabile pentru cheltuielile eligibile sunt:</w:t>
      </w:r>
    </w:p>
    <w:p w:rsid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Pr>
          <w:rFonts w:ascii="Trebuchet MS" w:hAnsi="Trebuchet MS"/>
        </w:rPr>
        <w:t xml:space="preserve">Pentru regiunea </w:t>
      </w:r>
      <w:r w:rsidRPr="0075275F">
        <w:rPr>
          <w:rFonts w:ascii="Trebuchet MS" w:hAnsi="Trebuchet MS"/>
        </w:rPr>
        <w:t>București Ilfov</w:t>
      </w:r>
      <w:r>
        <w:rPr>
          <w:rFonts w:ascii="Trebuchet MS" w:hAnsi="Trebuchet MS"/>
        </w:rPr>
        <w:t xml:space="preserve">: </w:t>
      </w:r>
    </w:p>
    <w:p w:rsidR="001E3751" w:rsidRPr="00BE52E3" w:rsidRDefault="001E3751" w:rsidP="00BE52E3">
      <w:pPr>
        <w:pStyle w:val="ListParagraph"/>
        <w:numPr>
          <w:ilvl w:val="1"/>
          <w:numId w:val="3"/>
        </w:numPr>
        <w:tabs>
          <w:tab w:val="left" w:pos="1418"/>
        </w:tabs>
        <w:spacing w:after="0" w:line="240" w:lineRule="auto"/>
        <w:ind w:left="1418" w:right="-1"/>
        <w:jc w:val="both"/>
        <w:rPr>
          <w:rFonts w:ascii="Trebuchet MS" w:hAnsi="Trebuchet MS"/>
        </w:rPr>
      </w:pPr>
      <w:r w:rsidRPr="00BE52E3">
        <w:rPr>
          <w:rFonts w:ascii="Trebuchet MS" w:hAnsi="Trebuchet MS"/>
          <w:lang w:eastAsia="ro-RO"/>
        </w:rPr>
        <w:t>maxim 80% din valoarea cheltuielilor eligibile ale proiectului reprezintă cofinanțarea acordată prin Fondul European de Dezvoltare Regională (FEDR)</w:t>
      </w:r>
    </w:p>
    <w:p w:rsidR="001E3751" w:rsidRDefault="001E3751" w:rsidP="00BE52E3">
      <w:pPr>
        <w:pStyle w:val="ListParagraph"/>
        <w:numPr>
          <w:ilvl w:val="1"/>
          <w:numId w:val="3"/>
        </w:numPr>
        <w:tabs>
          <w:tab w:val="left" w:pos="1418"/>
        </w:tabs>
        <w:spacing w:after="0" w:line="240" w:lineRule="auto"/>
        <w:ind w:left="1418" w:right="-1"/>
        <w:jc w:val="both"/>
        <w:rPr>
          <w:rFonts w:ascii="Trebuchet MS" w:hAnsi="Trebuchet MS"/>
          <w:lang w:eastAsia="ro-RO"/>
        </w:rPr>
      </w:pPr>
      <w:r w:rsidRPr="0075275F">
        <w:rPr>
          <w:rFonts w:ascii="Trebuchet MS" w:hAnsi="Trebuchet MS"/>
          <w:lang w:eastAsia="ro-RO"/>
        </w:rPr>
        <w:t>18%</w:t>
      </w:r>
      <w:r>
        <w:rPr>
          <w:rFonts w:ascii="Trebuchet MS" w:hAnsi="Trebuchet MS"/>
          <w:lang w:eastAsia="ro-RO"/>
        </w:rPr>
        <w:t xml:space="preserve"> din valoarea cheltuielilor eligibile ale proiectului provin din bugetul de stat (BS).</w:t>
      </w:r>
    </w:p>
    <w:p w:rsidR="001E3751"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Pr>
          <w:rFonts w:ascii="Trebuchet MS" w:hAnsi="Trebuchet MS"/>
        </w:rPr>
        <w:t xml:space="preserve">Pentru fiecare din </w:t>
      </w:r>
      <w:r w:rsidRPr="0075275F">
        <w:rPr>
          <w:rFonts w:ascii="Trebuchet MS" w:hAnsi="Trebuchet MS"/>
        </w:rPr>
        <w:t>celelalte 7 regiuni</w:t>
      </w:r>
      <w:r>
        <w:rPr>
          <w:rFonts w:ascii="Trebuchet MS" w:hAnsi="Trebuchet MS"/>
        </w:rPr>
        <w:t xml:space="preserve"> de dezvoltare: </w:t>
      </w:r>
    </w:p>
    <w:p w:rsidR="001E3751" w:rsidRDefault="001E3751" w:rsidP="00BE52E3">
      <w:pPr>
        <w:pStyle w:val="ListParagraph"/>
        <w:numPr>
          <w:ilvl w:val="1"/>
          <w:numId w:val="3"/>
        </w:numPr>
        <w:tabs>
          <w:tab w:val="left" w:pos="1418"/>
        </w:tabs>
        <w:spacing w:after="0" w:line="240" w:lineRule="auto"/>
        <w:ind w:left="1418" w:right="-1"/>
        <w:jc w:val="both"/>
        <w:rPr>
          <w:rFonts w:ascii="Trebuchet MS" w:hAnsi="Trebuchet MS"/>
          <w:lang w:eastAsia="ro-RO"/>
        </w:rPr>
      </w:pPr>
      <w:r w:rsidRPr="00BE52E3">
        <w:rPr>
          <w:rFonts w:ascii="Trebuchet MS" w:hAnsi="Trebuchet MS"/>
          <w:lang w:eastAsia="ro-RO"/>
        </w:rPr>
        <w:t>maxim 85%</w:t>
      </w:r>
      <w:r>
        <w:rPr>
          <w:rFonts w:ascii="Trebuchet MS" w:hAnsi="Trebuchet MS"/>
          <w:lang w:eastAsia="ro-RO"/>
        </w:rPr>
        <w:t xml:space="preserve"> din valoarea cheltuielilor eligibile ale proiectului reprezintă rata de cofinanțare acordată prin Fondul European de Dezvoltare Regională (FEDR),</w:t>
      </w:r>
    </w:p>
    <w:p w:rsidR="001E3751" w:rsidRDefault="001E3751" w:rsidP="00BE52E3">
      <w:pPr>
        <w:pStyle w:val="ListParagraph"/>
        <w:numPr>
          <w:ilvl w:val="1"/>
          <w:numId w:val="3"/>
        </w:numPr>
        <w:tabs>
          <w:tab w:val="left" w:pos="1418"/>
        </w:tabs>
        <w:spacing w:after="0" w:line="240" w:lineRule="auto"/>
        <w:ind w:left="1418" w:right="-1"/>
        <w:jc w:val="both"/>
        <w:rPr>
          <w:rFonts w:ascii="Trebuchet MS" w:hAnsi="Trebuchet MS"/>
          <w:lang w:eastAsia="ro-RO"/>
        </w:rPr>
      </w:pPr>
      <w:r w:rsidRPr="00BE52E3">
        <w:rPr>
          <w:rFonts w:ascii="Trebuchet MS" w:hAnsi="Trebuchet MS"/>
          <w:lang w:eastAsia="ro-RO"/>
        </w:rPr>
        <w:t>13%</w:t>
      </w:r>
      <w:r>
        <w:rPr>
          <w:rFonts w:ascii="Trebuchet MS" w:hAnsi="Trebuchet MS"/>
          <w:lang w:eastAsia="ro-RO"/>
        </w:rPr>
        <w:t xml:space="preserve"> din valoarea cheltuielilor eligibile ale proiectului reprezintă rata de cofinanțare din bugetul de stat (BS).</w:t>
      </w:r>
    </w:p>
    <w:p w:rsidR="001E3751" w:rsidRDefault="001E3751" w:rsidP="00DD2CB6">
      <w:pPr>
        <w:spacing w:after="0" w:line="240" w:lineRule="auto"/>
        <w:ind w:left="851" w:right="-1"/>
        <w:jc w:val="both"/>
        <w:rPr>
          <w:rFonts w:ascii="Trebuchet MS" w:hAnsi="Trebuchet MS"/>
          <w:i/>
        </w:rPr>
      </w:pPr>
      <w:r>
        <w:rPr>
          <w:rFonts w:ascii="Trebuchet MS" w:hAnsi="Trebuchet MS"/>
          <w:i/>
        </w:rPr>
        <w:t xml:space="preserve">Beneficiarii vor asigura din </w:t>
      </w:r>
      <w:r>
        <w:rPr>
          <w:rFonts w:ascii="Trebuchet MS" w:hAnsi="Trebuchet MS"/>
          <w:b/>
          <w:i/>
        </w:rPr>
        <w:t>bugetele proprii o cofinanțare de minim 2%</w:t>
      </w:r>
      <w:r>
        <w:rPr>
          <w:rFonts w:ascii="Trebuchet MS" w:hAnsi="Trebuchet MS"/>
          <w:i/>
        </w:rPr>
        <w:t xml:space="preserve"> din valoarea cheltuielilor eligibile.</w:t>
      </w:r>
    </w:p>
    <w:p w:rsidR="001E3751" w:rsidRDefault="001E3751" w:rsidP="00DD2CB6">
      <w:pPr>
        <w:spacing w:after="0" w:line="240" w:lineRule="auto"/>
        <w:ind w:left="851" w:right="-1"/>
        <w:jc w:val="both"/>
        <w:rPr>
          <w:rFonts w:ascii="Trebuchet MS" w:hAnsi="Trebuchet MS"/>
          <w:i/>
        </w:rPr>
      </w:pPr>
    </w:p>
    <w:p w:rsidR="001E3751" w:rsidRPr="00BE52E3" w:rsidRDefault="001E3751" w:rsidP="00DD2CB6">
      <w:pPr>
        <w:spacing w:after="0" w:line="240" w:lineRule="auto"/>
        <w:ind w:left="851" w:right="-1"/>
        <w:jc w:val="both"/>
        <w:rPr>
          <w:rFonts w:ascii="Trebuchet MS" w:hAnsi="Trebuchet MS"/>
          <w:b/>
        </w:rPr>
      </w:pPr>
      <w:r w:rsidRPr="00BE52E3">
        <w:rPr>
          <w:rFonts w:ascii="Trebuchet MS" w:hAnsi="Trebuchet MS"/>
          <w:b/>
        </w:rPr>
        <w:t>Activități finanțabile:</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 xml:space="preserve">demolarea clădirilor situate pe terenurile supuse intervențiilor; </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realizarea alei pietonale, piste pentru bicicliști, creare trotuare;</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amenajare spații verzi (defrișarea vegetației existente; modelarea terenului; plantarea/gazonarea suprafețelor, inclusiv plantare arbori);</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crearea de facilități pentru recreere pe terenurile amenajate (ex. zone speciale amenajate pentru sport, locuri de joacă pentru copii, etc.);</w:t>
      </w:r>
    </w:p>
    <w:p w:rsidR="001E3751" w:rsidRPr="00BE52E3" w:rsidRDefault="00BE52E3" w:rsidP="00BE52E3">
      <w:pPr>
        <w:pStyle w:val="ListParagraph"/>
        <w:numPr>
          <w:ilvl w:val="0"/>
          <w:numId w:val="3"/>
        </w:numPr>
        <w:tabs>
          <w:tab w:val="left" w:pos="1134"/>
        </w:tabs>
        <w:spacing w:after="0" w:line="240" w:lineRule="auto"/>
        <w:ind w:left="1134" w:right="-1" w:hanging="283"/>
        <w:jc w:val="both"/>
        <w:rPr>
          <w:rFonts w:ascii="Trebuchet MS" w:hAnsi="Trebuchet MS"/>
        </w:rPr>
      </w:pPr>
      <w:r>
        <w:rPr>
          <w:rFonts w:ascii="Trebuchet MS" w:hAnsi="Trebuchet MS"/>
        </w:rPr>
        <w:t>a</w:t>
      </w:r>
      <w:r w:rsidR="001E3751" w:rsidRPr="00BE52E3">
        <w:rPr>
          <w:rFonts w:ascii="Trebuchet MS" w:hAnsi="Trebuchet MS"/>
        </w:rPr>
        <w:t>chiziționarea și montarea elementelor constructive de tipul alei, foișoare, pergole, grilaje, grupuri sanitare, spatii pentru intretinere/vestiare, scene (cu condiția ca suprafața cumulată a acestora să nu depașească 10% din suprafața totală a spațiului verde și numai pe baza unei documentații de urbanism, conform art. 18 alin.7 din Legea nr. 24/2007 privind reglementarea și administrarea spațiilor verzi din zonele urbane, cu modificările și completările ulterioare);</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instalare Wi-Fi în spațiile publice;</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instalare sisteme de supraveghere video a spațiilor  amenajate prin proiect;</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dotare mobilier urban (bănci, coșuri de gunoi, toalete ecologice, suport parcare biciclete, împrejmuire etc);</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modernizarea străzilor urbane care conduc în mod direct la terenul supus intervenției (Străzile urbane sunt eligibile în situații excepționale, numai în măsura în care astfel de investiții sunt necesare pentru facilitarea accesibilității la obiectivul de investiții, și  în limita de maxim 15% din valoarea a cheltuielilor eligibile finanțate prin proiect);</w:t>
      </w:r>
    </w:p>
    <w:p w:rsidR="001E3751" w:rsidRPr="00BE52E3"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sidRPr="00BE52E3">
        <w:rPr>
          <w:rFonts w:ascii="Trebuchet MS" w:hAnsi="Trebuchet MS"/>
        </w:rPr>
        <w:t>înlocuirea și/sau racordarea la utilități publice a terenului obiect al investiției;</w:t>
      </w:r>
    </w:p>
    <w:p w:rsidR="001E3751" w:rsidRPr="00BE52E3" w:rsidRDefault="009E2297" w:rsidP="00BE52E3">
      <w:pPr>
        <w:pStyle w:val="ListParagraph"/>
        <w:numPr>
          <w:ilvl w:val="0"/>
          <w:numId w:val="3"/>
        </w:numPr>
        <w:tabs>
          <w:tab w:val="left" w:pos="1134"/>
        </w:tabs>
        <w:spacing w:after="0" w:line="240" w:lineRule="auto"/>
        <w:ind w:left="1134" w:right="-1" w:hanging="283"/>
        <w:jc w:val="both"/>
        <w:rPr>
          <w:rFonts w:ascii="Trebuchet MS" w:hAnsi="Trebuchet MS"/>
        </w:rPr>
      </w:pPr>
      <w:r>
        <w:rPr>
          <w:rFonts w:ascii="Trebuchet MS" w:hAnsi="Trebuchet MS"/>
        </w:rPr>
        <w:lastRenderedPageBreak/>
        <w:t>r</w:t>
      </w:r>
      <w:bookmarkStart w:id="1" w:name="_GoBack"/>
      <w:bookmarkEnd w:id="1"/>
      <w:r w:rsidR="001E3751" w:rsidRPr="00BE52E3">
        <w:rPr>
          <w:rFonts w:ascii="Trebuchet MS" w:hAnsi="Trebuchet MS"/>
        </w:rPr>
        <w:t>ealizare sistem de  irigații/sistem de iluminat pentru spațiile amenajate prin proiect.</w:t>
      </w:r>
    </w:p>
    <w:p w:rsidR="001E3751" w:rsidRPr="00BE52E3" w:rsidRDefault="001E3751" w:rsidP="00BE52E3">
      <w:pPr>
        <w:pStyle w:val="ListParagraph"/>
        <w:tabs>
          <w:tab w:val="left" w:pos="1134"/>
        </w:tabs>
        <w:spacing w:after="0" w:line="240" w:lineRule="auto"/>
        <w:ind w:left="1134" w:right="-1"/>
        <w:jc w:val="both"/>
        <w:rPr>
          <w:rFonts w:ascii="Trebuchet MS" w:hAnsi="Trebuchet MS"/>
        </w:rPr>
      </w:pPr>
    </w:p>
    <w:p w:rsidR="001E3751" w:rsidRPr="002A0690" w:rsidRDefault="001E3751" w:rsidP="00DD2CB6">
      <w:pPr>
        <w:spacing w:after="0" w:line="240" w:lineRule="auto"/>
        <w:ind w:left="851" w:right="-1"/>
        <w:jc w:val="both"/>
        <w:rPr>
          <w:rFonts w:ascii="Trebuchet MS" w:hAnsi="Trebuchet MS"/>
          <w:b/>
          <w:color w:val="C00000"/>
        </w:rPr>
      </w:pPr>
      <w:r w:rsidRPr="00BE52E3">
        <w:rPr>
          <w:rFonts w:ascii="Trebuchet MS" w:hAnsi="Trebuchet MS"/>
          <w:b/>
        </w:rPr>
        <w:t>Indicatori de realizare:</w:t>
      </w:r>
      <w:r w:rsidRPr="002A0690">
        <w:rPr>
          <w:rFonts w:ascii="Trebuchet MS" w:hAnsi="Trebuchet MS"/>
          <w:b/>
          <w:color w:val="C00000"/>
        </w:rPr>
        <w:t xml:space="preserve"> </w:t>
      </w:r>
    </w:p>
    <w:p w:rsidR="001E3751" w:rsidRPr="002A0690" w:rsidRDefault="001E3751" w:rsidP="00BE52E3">
      <w:pPr>
        <w:pStyle w:val="ListParagraph"/>
        <w:numPr>
          <w:ilvl w:val="0"/>
          <w:numId w:val="3"/>
        </w:numPr>
        <w:tabs>
          <w:tab w:val="left" w:pos="1134"/>
        </w:tabs>
        <w:spacing w:after="0" w:line="240" w:lineRule="auto"/>
        <w:ind w:left="1134" w:right="-1" w:hanging="283"/>
        <w:jc w:val="both"/>
        <w:rPr>
          <w:rFonts w:ascii="Trebuchet MS" w:hAnsi="Trebuchet MS"/>
        </w:rPr>
      </w:pPr>
      <w:r>
        <w:rPr>
          <w:rFonts w:ascii="Trebuchet MS" w:hAnsi="Trebuchet MS"/>
        </w:rPr>
        <w:t xml:space="preserve">117893 </w:t>
      </w:r>
      <w:r w:rsidRPr="002A0690">
        <w:rPr>
          <w:rFonts w:ascii="Trebuchet MS" w:hAnsi="Trebuchet MS"/>
        </w:rPr>
        <w:t xml:space="preserve">metri pătrați </w:t>
      </w:r>
      <w:r>
        <w:rPr>
          <w:rFonts w:ascii="Trebuchet MS" w:hAnsi="Trebuchet MS"/>
        </w:rPr>
        <w:t xml:space="preserve">de </w:t>
      </w:r>
      <w:r w:rsidRPr="002A0690">
        <w:rPr>
          <w:rFonts w:ascii="Trebuchet MS" w:hAnsi="Trebuchet MS"/>
        </w:rPr>
        <w:t xml:space="preserve">spații deschise create sau reabilitate în zonele urbane </w:t>
      </w:r>
    </w:p>
    <w:p w:rsidR="001E3751" w:rsidRPr="00B47CF8" w:rsidRDefault="001E3751" w:rsidP="00BE52E3">
      <w:pPr>
        <w:pStyle w:val="ListParagraph"/>
        <w:tabs>
          <w:tab w:val="left" w:pos="1134"/>
        </w:tabs>
        <w:spacing w:after="0" w:line="240" w:lineRule="auto"/>
        <w:ind w:left="1134" w:right="-1"/>
        <w:jc w:val="both"/>
        <w:rPr>
          <w:rFonts w:ascii="Trebuchet MS" w:hAnsi="Trebuchet MS"/>
          <w:b/>
        </w:rPr>
      </w:pPr>
    </w:p>
    <w:p w:rsidR="00E34803" w:rsidRPr="00560915" w:rsidRDefault="00E34803" w:rsidP="00E34803">
      <w:pPr>
        <w:spacing w:after="0" w:line="240" w:lineRule="auto"/>
        <w:ind w:left="851" w:right="-1"/>
        <w:jc w:val="both"/>
        <w:rPr>
          <w:rFonts w:ascii="Trebuchet MS" w:hAnsi="Trebuchet MS" w:cs="Arial"/>
          <w:bCs/>
          <w:color w:val="000000"/>
        </w:rPr>
      </w:pPr>
      <w:r w:rsidRPr="00560915">
        <w:rPr>
          <w:rFonts w:ascii="Trebuchet MS" w:hAnsi="Trebuchet MS" w:cs="Arial"/>
          <w:bCs/>
          <w:color w:val="000000"/>
        </w:rPr>
        <w:t>Pentru aprobarea documentului a fost parcursă procedura de consultare publică, în urma căreia au fost primite numeroase observații și comentarii care au fost luate în considerare la finalizarea Ghidului.</w:t>
      </w:r>
    </w:p>
    <w:p w:rsidR="00E34803" w:rsidRPr="00560915" w:rsidRDefault="00E34803" w:rsidP="00E34803">
      <w:pPr>
        <w:spacing w:after="0" w:line="240" w:lineRule="auto"/>
        <w:ind w:left="851" w:right="-1"/>
        <w:jc w:val="both"/>
        <w:rPr>
          <w:rFonts w:ascii="Trebuchet MS" w:hAnsi="Trebuchet MS" w:cs="Arial"/>
          <w:bCs/>
          <w:color w:val="000000"/>
        </w:rPr>
      </w:pPr>
    </w:p>
    <w:p w:rsidR="00E34803" w:rsidRPr="00560915" w:rsidRDefault="00E34803" w:rsidP="00E34803">
      <w:pPr>
        <w:spacing w:after="0" w:line="240" w:lineRule="auto"/>
        <w:ind w:left="851" w:right="-1"/>
        <w:jc w:val="both"/>
        <w:rPr>
          <w:rFonts w:ascii="Trebuchet MS" w:hAnsi="Trebuchet MS" w:cs="Arial"/>
          <w:bCs/>
          <w:color w:val="000000"/>
        </w:rPr>
      </w:pPr>
      <w:r w:rsidRPr="00560915">
        <w:rPr>
          <w:rFonts w:ascii="Trebuchet MS" w:hAnsi="Trebuchet MS" w:cs="Arial"/>
          <w:bCs/>
          <w:color w:val="000000"/>
        </w:rPr>
        <w:t xml:space="preserve">Pentru îndeplinirea măsurilor de informare şi publicitate (legate de obligaţia de a promova faptul că proiectele sunt finanţate de Uniunea Europeană şi Guvernul României, prin Programul Operaţional Regional), beneficiarii vor aplica </w:t>
      </w:r>
      <w:r w:rsidRPr="00560915">
        <w:rPr>
          <w:rFonts w:ascii="Trebuchet MS" w:hAnsi="Trebuchet MS" w:cs="Arial"/>
          <w:b/>
          <w:bCs/>
          <w:color w:val="000000"/>
        </w:rPr>
        <w:t>Manualul de identitate</w:t>
      </w:r>
      <w:r w:rsidRPr="00560915">
        <w:rPr>
          <w:rFonts w:ascii="Trebuchet MS" w:hAnsi="Trebuchet MS" w:cs="Arial"/>
          <w:bCs/>
          <w:color w:val="000000"/>
        </w:rPr>
        <w:t xml:space="preserve"> </w:t>
      </w:r>
      <w:r w:rsidRPr="00560915">
        <w:rPr>
          <w:rFonts w:ascii="Trebuchet MS" w:hAnsi="Trebuchet MS" w:cs="Arial"/>
          <w:b/>
          <w:bCs/>
          <w:color w:val="000000"/>
        </w:rPr>
        <w:t>vizuală</w:t>
      </w:r>
      <w:r w:rsidRPr="00560915">
        <w:rPr>
          <w:rFonts w:ascii="Trebuchet MS" w:hAnsi="Trebuchet MS" w:cs="Arial"/>
          <w:bCs/>
          <w:color w:val="000000"/>
        </w:rPr>
        <w:t xml:space="preserve"> POR 2014-2020 disponibil la link </w:t>
      </w:r>
      <w:hyperlink r:id="rId13" w:history="1">
        <w:r w:rsidRPr="00560915">
          <w:rPr>
            <w:rStyle w:val="Hyperlink"/>
            <w:rFonts w:ascii="Trebuchet MS" w:hAnsi="Trebuchet MS" w:cs="Arial"/>
            <w:bCs/>
          </w:rPr>
          <w:t>http://www.inforegio.ro/ro/informare-si-publicitate/identitate-vizuala.html</w:t>
        </w:r>
      </w:hyperlink>
      <w:r w:rsidRPr="00560915">
        <w:rPr>
          <w:rFonts w:ascii="Trebuchet MS" w:hAnsi="Trebuchet MS" w:cs="Arial"/>
          <w:bCs/>
          <w:color w:val="000000"/>
        </w:rPr>
        <w:t>.</w:t>
      </w:r>
    </w:p>
    <w:p w:rsidR="00E34803" w:rsidRPr="00560915" w:rsidRDefault="00E34803" w:rsidP="00E34803">
      <w:pPr>
        <w:spacing w:after="0" w:line="240" w:lineRule="auto"/>
        <w:ind w:left="851" w:right="-1"/>
        <w:jc w:val="both"/>
        <w:rPr>
          <w:rFonts w:ascii="Trebuchet MS" w:hAnsi="Trebuchet MS" w:cs="Arial"/>
          <w:bCs/>
          <w:color w:val="000000"/>
        </w:rPr>
      </w:pPr>
    </w:p>
    <w:p w:rsidR="00E34803" w:rsidRPr="00560915" w:rsidRDefault="00E34803" w:rsidP="00E34803">
      <w:pPr>
        <w:spacing w:after="0" w:line="240" w:lineRule="auto"/>
        <w:ind w:left="851" w:right="-1"/>
        <w:jc w:val="center"/>
        <w:rPr>
          <w:rFonts w:ascii="Trebuchet MS" w:hAnsi="Trebuchet MS"/>
          <w:b/>
          <w:color w:val="000000"/>
        </w:rPr>
      </w:pPr>
      <w:r w:rsidRPr="00560915">
        <w:rPr>
          <w:rFonts w:ascii="Trebuchet MS" w:hAnsi="Trebuchet MS"/>
          <w:b/>
          <w:color w:val="000000"/>
        </w:rPr>
        <w:t>* * *</w:t>
      </w:r>
    </w:p>
    <w:p w:rsidR="00E34803" w:rsidRPr="00560915" w:rsidRDefault="00E34803" w:rsidP="00E34803">
      <w:pPr>
        <w:spacing w:after="0" w:line="240" w:lineRule="auto"/>
        <w:ind w:left="851" w:right="-1"/>
        <w:jc w:val="both"/>
        <w:rPr>
          <w:rFonts w:ascii="Trebuchet MS" w:hAnsi="Trebuchet MS"/>
        </w:rPr>
      </w:pPr>
    </w:p>
    <w:p w:rsidR="00E34803" w:rsidRPr="00560915" w:rsidRDefault="004C5A22" w:rsidP="00E34803">
      <w:pPr>
        <w:spacing w:after="0" w:line="240" w:lineRule="auto"/>
        <w:ind w:left="851"/>
        <w:jc w:val="both"/>
        <w:rPr>
          <w:rFonts w:ascii="Trebuchet MS" w:hAnsi="Trebuchet MS"/>
        </w:rPr>
      </w:pPr>
      <w:hyperlink r:id="rId14" w:tgtFrame="_blank" w:history="1">
        <w:r w:rsidR="00E34803" w:rsidRPr="00560915">
          <w:rPr>
            <w:rStyle w:val="Hyperlink"/>
            <w:rFonts w:ascii="Trebuchet MS" w:hAnsi="Trebuchet MS"/>
            <w:bCs/>
          </w:rPr>
          <w:t>Programul Operațional Regional 2014-2020</w:t>
        </w:r>
      </w:hyperlink>
      <w:r w:rsidR="00E34803" w:rsidRPr="00560915">
        <w:rPr>
          <w:rFonts w:ascii="Trebuchet MS" w:hAnsi="Trebuchet MS"/>
        </w:rPr>
        <w:t> succede Programul</w:t>
      </w:r>
      <w:r w:rsidR="00130C00">
        <w:rPr>
          <w:rFonts w:ascii="Trebuchet MS" w:hAnsi="Trebuchet MS"/>
        </w:rPr>
        <w:t>ui</w:t>
      </w:r>
      <w:r w:rsidR="00E34803" w:rsidRPr="00560915">
        <w:rPr>
          <w:rFonts w:ascii="Trebuchet MS" w:hAnsi="Trebuchet MS"/>
        </w:rPr>
        <w:t xml:space="preserve"> Operațional Regional 2007-2013 și este unul dintre programele prin care România va putea accesa fondurile europene structurale și de investiții provenite din Fondul European pentru Dezvoltare Regională (FEDR), în perioada actuală de programare.</w:t>
      </w:r>
    </w:p>
    <w:p w:rsidR="00E34803" w:rsidRPr="00560915" w:rsidRDefault="00E34803" w:rsidP="00E34803">
      <w:pPr>
        <w:spacing w:after="0" w:line="240" w:lineRule="auto"/>
        <w:ind w:left="851"/>
        <w:jc w:val="both"/>
        <w:rPr>
          <w:rFonts w:ascii="Trebuchet MS" w:hAnsi="Trebuchet MS"/>
          <w:bCs/>
        </w:rPr>
      </w:pPr>
    </w:p>
    <w:p w:rsidR="00E34803" w:rsidRPr="00560915" w:rsidRDefault="00E34803" w:rsidP="00E34803">
      <w:pPr>
        <w:spacing w:after="0" w:line="240" w:lineRule="auto"/>
        <w:ind w:left="851"/>
        <w:jc w:val="both"/>
        <w:rPr>
          <w:rFonts w:ascii="Trebuchet MS" w:hAnsi="Trebuchet MS"/>
        </w:rPr>
      </w:pPr>
      <w:r w:rsidRPr="00560915">
        <w:rPr>
          <w:rFonts w:ascii="Trebuchet MS" w:hAnsi="Trebuchet MS"/>
          <w:bCs/>
        </w:rPr>
        <w:t>Programul Operațional Regional (POR) 2014-2020 </w:t>
      </w:r>
      <w:r w:rsidRPr="00560915">
        <w:rPr>
          <w:rFonts w:ascii="Trebuchet MS" w:hAnsi="Trebuchet MS"/>
        </w:rPr>
        <w:t>este gestionat de Autoritatea de Management pentru POR din cadrul Ministerului Dezvoltării Regionale și Administrației Publice și a fost adoptat de Comisia Europeană (CE) pe data de</w:t>
      </w:r>
      <w:r w:rsidRPr="00560915">
        <w:rPr>
          <w:rFonts w:ascii="Trebuchet MS" w:hAnsi="Trebuchet MS"/>
          <w:bCs/>
        </w:rPr>
        <w:t> 23 iunie 2015</w:t>
      </w:r>
      <w:r w:rsidRPr="00560915">
        <w:rPr>
          <w:rFonts w:ascii="Trebuchet MS" w:hAnsi="Trebuchet MS"/>
        </w:rPr>
        <w:t xml:space="preserve">. </w:t>
      </w:r>
    </w:p>
    <w:p w:rsidR="00E34803" w:rsidRPr="00560915" w:rsidRDefault="00E34803" w:rsidP="00E34803">
      <w:pPr>
        <w:spacing w:after="0" w:line="240" w:lineRule="auto"/>
        <w:ind w:left="851"/>
        <w:jc w:val="both"/>
        <w:rPr>
          <w:rFonts w:ascii="Trebuchet MS" w:hAnsi="Trebuchet MS"/>
          <w:bCs/>
        </w:rPr>
      </w:pPr>
    </w:p>
    <w:p w:rsidR="00E34803" w:rsidRPr="00560915" w:rsidRDefault="00E34803" w:rsidP="00E34803">
      <w:pPr>
        <w:spacing w:after="0" w:line="240" w:lineRule="auto"/>
        <w:ind w:left="851"/>
        <w:jc w:val="both"/>
        <w:rPr>
          <w:rFonts w:ascii="Trebuchet MS" w:hAnsi="Trebuchet MS"/>
        </w:rPr>
      </w:pPr>
      <w:r w:rsidRPr="00560915">
        <w:rPr>
          <w:rFonts w:ascii="Trebuchet MS" w:hAnsi="Trebuchet MS"/>
        </w:rPr>
        <w:t>POR 2014–2020 își propune ca obiectiv general </w:t>
      </w:r>
      <w:r w:rsidRPr="00560915">
        <w:rPr>
          <w:rFonts w:ascii="Trebuchet MS" w:hAnsi="Trebuchet MS"/>
          <w:bCs/>
        </w:rPr>
        <w:t>creșterea competitivității</w:t>
      </w:r>
      <w:r w:rsidR="00130C00">
        <w:rPr>
          <w:rFonts w:ascii="Trebuchet MS" w:hAnsi="Trebuchet MS"/>
          <w:bCs/>
        </w:rPr>
        <w:t xml:space="preserve"> </w:t>
      </w:r>
      <w:r w:rsidRPr="00560915">
        <w:rPr>
          <w:rFonts w:ascii="Trebuchet MS" w:hAnsi="Trebuchet MS"/>
          <w:bCs/>
        </w:rPr>
        <w:t>economice</w:t>
      </w:r>
      <w:r w:rsidRPr="00560915">
        <w:rPr>
          <w:rFonts w:ascii="Trebuchet MS" w:hAnsi="Trebuchet MS"/>
        </w:rPr>
        <w:t> și </w:t>
      </w:r>
      <w:r w:rsidRPr="00560915">
        <w:rPr>
          <w:rFonts w:ascii="Trebuchet MS" w:hAnsi="Trebuchet MS"/>
          <w:bCs/>
        </w:rPr>
        <w:t>îmbunătăţirea condițiilor de viață</w:t>
      </w:r>
      <w:r w:rsidRPr="00560915">
        <w:rPr>
          <w:rFonts w:ascii="Trebuchet MS" w:hAnsi="Trebuchet MS"/>
        </w:rPr>
        <w:t> ale comunităților locale și regionale, prin</w:t>
      </w:r>
    </w:p>
    <w:p w:rsidR="00E34803" w:rsidRPr="00560915" w:rsidRDefault="00E34803" w:rsidP="00E34803">
      <w:pPr>
        <w:spacing w:after="0" w:line="240" w:lineRule="auto"/>
        <w:ind w:left="851"/>
        <w:jc w:val="both"/>
        <w:rPr>
          <w:rFonts w:ascii="Trebuchet MS" w:hAnsi="Trebuchet MS"/>
        </w:rPr>
      </w:pPr>
      <w:r w:rsidRPr="00560915">
        <w:rPr>
          <w:rFonts w:ascii="Trebuchet MS" w:hAnsi="Trebuchet MS"/>
        </w:rPr>
        <w:t>sprijinirea dezvoltării mediului de afaceri, infrastructurii și serviciilor, pentru dezvoltarea durabilă a regiunilor, astfel încât acestea să își poată gestiona în mod eficient resursele și să își valorifice potențialul de inovare și de asimilare a progresului tehnologic.</w:t>
      </w:r>
    </w:p>
    <w:p w:rsidR="00E34803" w:rsidRPr="00560915" w:rsidRDefault="00E34803" w:rsidP="00E34803">
      <w:pPr>
        <w:spacing w:after="0" w:line="240" w:lineRule="auto"/>
        <w:ind w:left="851"/>
        <w:jc w:val="both"/>
        <w:rPr>
          <w:rFonts w:ascii="Trebuchet MS" w:hAnsi="Trebuchet MS"/>
        </w:rPr>
      </w:pPr>
      <w:r w:rsidRPr="00560915">
        <w:rPr>
          <w:rFonts w:ascii="Trebuchet MS" w:hAnsi="Trebuchet MS"/>
        </w:rPr>
        <w:t>Aceste obiective sunt traduse în </w:t>
      </w:r>
      <w:r w:rsidRPr="00560915">
        <w:rPr>
          <w:rFonts w:ascii="Trebuchet MS" w:hAnsi="Trebuchet MS"/>
          <w:bCs/>
        </w:rPr>
        <w:t>11 axe prioritare</w:t>
      </w:r>
      <w:r w:rsidRPr="00560915">
        <w:rPr>
          <w:rFonts w:ascii="Trebuchet MS" w:hAnsi="Trebuchet MS"/>
        </w:rPr>
        <w:t> (plus o axă de asistență tehnică), care au în total o </w:t>
      </w:r>
      <w:r w:rsidRPr="00560915">
        <w:rPr>
          <w:rFonts w:ascii="Trebuchet MS" w:hAnsi="Trebuchet MS"/>
          <w:bCs/>
        </w:rPr>
        <w:t>alocare estimată</w:t>
      </w:r>
      <w:r w:rsidRPr="00560915">
        <w:rPr>
          <w:rFonts w:ascii="Trebuchet MS" w:hAnsi="Trebuchet MS"/>
        </w:rPr>
        <w:t> de </w:t>
      </w:r>
      <w:r w:rsidRPr="00560915">
        <w:rPr>
          <w:rFonts w:ascii="Trebuchet MS" w:hAnsi="Trebuchet MS"/>
          <w:bCs/>
        </w:rPr>
        <w:t>8,25 miliarde euro</w:t>
      </w:r>
      <w:r w:rsidRPr="00560915">
        <w:rPr>
          <w:rFonts w:ascii="Trebuchet MS" w:hAnsi="Trebuchet MS"/>
        </w:rPr>
        <w:t>, din care </w:t>
      </w:r>
      <w:r w:rsidRPr="00560915">
        <w:rPr>
          <w:rFonts w:ascii="Trebuchet MS" w:hAnsi="Trebuchet MS"/>
          <w:bCs/>
        </w:rPr>
        <w:t>6,7 miliarde de euro reprezintă sprijinul UE, prin Fondul European pentru Dezvoltare Regională (FEDR), iar 1,5 miliarde de euro - contribuția națională</w:t>
      </w:r>
      <w:r w:rsidRPr="00560915">
        <w:rPr>
          <w:rFonts w:ascii="Trebuchet MS" w:hAnsi="Trebuchet MS"/>
        </w:rPr>
        <w:t>:</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1: Promovarea transferului tehnologic</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2: Îmbunătăţirea competitivităţii întreprinderilor mici şi mijlocii</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3: Sprijinirea tranziției către o economie cu emisii scăzute de   carbon</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4: Sprijinirea dezvoltării urbane durabile</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5: Îmbunătățirea mediului urban și conservarea, protecția și valorificarea durabilă a patrimoniului cultural</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6: Îmbunătățirea infrastructurii rutiere de importanță regională</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7: Diversificarea economiilor locale prin dezvoltarea durabilă a turismului</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8: Dezvoltarea infrastructurii de sănătate şi sociale</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9: Sprijinirea regenerării economice și sociale a comunităților defavorizate din mediul urban</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10: Îmbunătățirea infrastructurii educaționale</w:t>
      </w:r>
    </w:p>
    <w:p w:rsidR="00E34803" w:rsidRPr="00560915" w:rsidRDefault="00E34803" w:rsidP="00E34803">
      <w:pPr>
        <w:pStyle w:val="ListParagraph"/>
        <w:numPr>
          <w:ilvl w:val="0"/>
          <w:numId w:val="3"/>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11: Extinderea geografică a sistemului de înregistrare a proprietăţilor în cadastru şi cartea funciară</w:t>
      </w:r>
    </w:p>
    <w:p w:rsidR="000C64C7" w:rsidRPr="00130C00" w:rsidRDefault="00E34803" w:rsidP="000A7629">
      <w:pPr>
        <w:pStyle w:val="ListParagraph"/>
        <w:numPr>
          <w:ilvl w:val="0"/>
          <w:numId w:val="3"/>
        </w:numPr>
        <w:tabs>
          <w:tab w:val="left" w:pos="1134"/>
        </w:tabs>
        <w:spacing w:after="0" w:line="240" w:lineRule="auto"/>
        <w:ind w:left="1134" w:right="-1" w:hanging="283"/>
        <w:jc w:val="both"/>
        <w:rPr>
          <w:rFonts w:ascii="Trebuchet MS" w:hAnsi="Trebuchet MS"/>
        </w:rPr>
      </w:pPr>
      <w:r w:rsidRPr="00A908D0">
        <w:rPr>
          <w:rFonts w:ascii="Trebuchet MS" w:hAnsi="Trebuchet MS"/>
        </w:rPr>
        <w:t xml:space="preserve">Axa </w:t>
      </w:r>
      <w:r w:rsidR="00130C00" w:rsidRPr="00A908D0">
        <w:rPr>
          <w:rFonts w:ascii="Trebuchet MS" w:hAnsi="Trebuchet MS"/>
        </w:rPr>
        <w:t>prioritară 12: Asistență tehnică</w:t>
      </w:r>
    </w:p>
    <w:sectPr w:rsidR="000C64C7" w:rsidRPr="00130C00" w:rsidSect="00DD2CB6">
      <w:headerReference w:type="default" r:id="rId15"/>
      <w:footerReference w:type="even" r:id="rId16"/>
      <w:footerReference w:type="default" r:id="rId17"/>
      <w:headerReference w:type="first" r:id="rId18"/>
      <w:footerReference w:type="first" r:id="rId19"/>
      <w:pgSz w:w="11906" w:h="16838" w:code="9"/>
      <w:pgMar w:top="1098" w:right="566" w:bottom="0" w:left="1418" w:header="426"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22" w:rsidRDefault="004C5A22" w:rsidP="00BE52E3">
      <w:pPr>
        <w:spacing w:after="0" w:line="240" w:lineRule="auto"/>
      </w:pPr>
      <w:r>
        <w:separator/>
      </w:r>
    </w:p>
  </w:endnote>
  <w:endnote w:type="continuationSeparator" w:id="0">
    <w:p w:rsidR="004C5A22" w:rsidRDefault="004C5A22" w:rsidP="00BE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font291">
    <w:altName w:val="Times New Roman"/>
    <w:panose1 w:val="00000000000000000000"/>
    <w:charset w:val="00"/>
    <w:family w:val="auto"/>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BE" w:rsidRDefault="004C5A22" w:rsidP="001B682A">
    <w:pPr>
      <w:pStyle w:val="Footer"/>
      <w:framePr w:wrap="around" w:vAnchor="text" w:hAnchor="margin" w:xAlign="center" w:y="1"/>
      <w:rPr>
        <w:rStyle w:val="PageNumber"/>
      </w:rPr>
    </w:pPr>
  </w:p>
  <w:p w:rsidR="00DB0ABE" w:rsidRDefault="004C5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84" w:rsidRDefault="000C64C7"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37045A78" wp14:editId="3D0F6C89">
          <wp:extent cx="1437005" cy="457200"/>
          <wp:effectExtent l="0" t="0" r="0" b="0"/>
          <wp:docPr id="5" name="Picture 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Compatibility-CommPri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457200"/>
                  </a:xfrm>
                  <a:prstGeom prst="rect">
                    <a:avLst/>
                  </a:prstGeom>
                  <a:noFill/>
                  <a:ln>
                    <a:noFill/>
                  </a:ln>
                </pic:spPr>
              </pic:pic>
            </a:graphicData>
          </a:graphic>
        </wp:inline>
      </w:drawing>
    </w:r>
  </w:p>
  <w:p w:rsidR="00722984" w:rsidRPr="00B72F71" w:rsidRDefault="000C64C7" w:rsidP="00722984">
    <w:pPr>
      <w:tabs>
        <w:tab w:val="center" w:pos="4320"/>
        <w:tab w:val="right" w:pos="8640"/>
      </w:tabs>
      <w:spacing w:after="0" w:line="240" w:lineRule="auto"/>
      <w:ind w:left="-1417" w:right="-1368"/>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13C38D6D" wp14:editId="50155747">
          <wp:extent cx="7641590" cy="108585"/>
          <wp:effectExtent l="0" t="0" r="0" b="5715"/>
          <wp:docPr id="4" name="Picture 4" descr="Banda-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a-Edit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1590" cy="108585"/>
                  </a:xfrm>
                  <a:prstGeom prst="rect">
                    <a:avLst/>
                  </a:prstGeom>
                  <a:noFill/>
                  <a:ln>
                    <a:noFill/>
                  </a:ln>
                </pic:spPr>
              </pic:pic>
            </a:graphicData>
          </a:graphic>
        </wp:inline>
      </w:drawing>
    </w:r>
  </w:p>
  <w:p w:rsidR="00722984" w:rsidRPr="00B72F71" w:rsidRDefault="000C64C7" w:rsidP="00722984">
    <w:pPr>
      <w:pStyle w:val="Footer"/>
      <w:jc w:val="center"/>
      <w:rPr>
        <w:sz w:val="20"/>
        <w:szCs w:val="20"/>
      </w:rPr>
    </w:pPr>
    <w:r>
      <w:rPr>
        <w:noProof/>
        <w:sz w:val="20"/>
        <w:szCs w:val="20"/>
        <w:lang w:eastAsia="ro-RO"/>
      </w:rPr>
      <mc:AlternateContent>
        <mc:Choice Requires="wps">
          <w:drawing>
            <wp:anchor distT="0" distB="0" distL="114935" distR="114935" simplePos="0" relativeHeight="251660288" behindDoc="0" locked="0" layoutInCell="1" allowOverlap="1" wp14:anchorId="5DC21FF9" wp14:editId="7B5183D9">
              <wp:simplePos x="0" y="0"/>
              <wp:positionH relativeFrom="column">
                <wp:posOffset>-228600</wp:posOffset>
              </wp:positionH>
              <wp:positionV relativeFrom="margin">
                <wp:posOffset>9370695</wp:posOffset>
              </wp:positionV>
              <wp:extent cx="6629400" cy="552450"/>
              <wp:effectExtent l="0" t="762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984" w:rsidRDefault="004C5A22" w:rsidP="00722984">
                          <w:pPr>
                            <w:spacing w:after="0" w:line="240" w:lineRule="auto"/>
                            <w:jc w:val="center"/>
                            <w:rPr>
                              <w:rFonts w:cs="Arial"/>
                              <w:color w:val="083160"/>
                              <w:sz w:val="20"/>
                            </w:rPr>
                          </w:pPr>
                        </w:p>
                        <w:p w:rsidR="00722984" w:rsidRPr="00CB0A86" w:rsidRDefault="0068015C"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68015C"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C21FF9" id="_x0000_t202" coordsize="21600,21600" o:spt="202" path="m,l,21600r21600,l21600,xe">
              <v:stroke joinstyle="miter"/>
              <v:path gradientshapeok="t" o:connecttype="rect"/>
            </v:shapetype>
            <v:shape id="Text Box 9" o:spid="_x0000_s1026" type="#_x0000_t202" style="position:absolute;left:0;text-align:left;margin-left:-18pt;margin-top:737.85pt;width:522pt;height:4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" stroked="f">
              <v:fill opacity="0"/>
              <v:textbox inset="0,0,0,0">
                <w:txbxContent>
                  <w:p w:rsidR="00722984" w:rsidRDefault="0084288F" w:rsidP="00722984">
                    <w:pPr>
                      <w:spacing w:after="0" w:line="240" w:lineRule="auto"/>
                      <w:jc w:val="center"/>
                      <w:rPr>
                        <w:rFonts w:cs="Arial"/>
                        <w:color w:val="083160"/>
                        <w:sz w:val="20"/>
                      </w:rPr>
                    </w:pPr>
                  </w:p>
                  <w:p w:rsidR="00722984" w:rsidRPr="00CB0A86" w:rsidRDefault="0068015C"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68015C"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v:textbox>
              <w10:wrap anchory="margin"/>
            </v:shape>
          </w:pict>
        </mc:Fallback>
      </mc:AlternateContent>
    </w:r>
    <w:hyperlink r:id="rId3" w:history="1">
      <w:r w:rsidR="0068015C" w:rsidRPr="00B72F71">
        <w:rPr>
          <w:rStyle w:val="Hyperlink"/>
          <w:sz w:val="20"/>
          <w:szCs w:val="20"/>
        </w:rPr>
        <w:t>www.inforegio.ro</w:t>
      </w:r>
    </w:hyperlink>
  </w:p>
  <w:p w:rsidR="00DB0ABE" w:rsidRPr="00722984" w:rsidRDefault="004C5A22" w:rsidP="00722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84" w:rsidRDefault="000C64C7"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0EED9B7E" wp14:editId="4C72EDB1">
          <wp:extent cx="1437005" cy="457200"/>
          <wp:effectExtent l="0" t="0" r="0" b="0"/>
          <wp:docPr id="2"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Compatibility-CommPri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457200"/>
                  </a:xfrm>
                  <a:prstGeom prst="rect">
                    <a:avLst/>
                  </a:prstGeom>
                  <a:noFill/>
                  <a:ln>
                    <a:noFill/>
                  </a:ln>
                </pic:spPr>
              </pic:pic>
            </a:graphicData>
          </a:graphic>
        </wp:inline>
      </w:drawing>
    </w:r>
  </w:p>
  <w:p w:rsidR="00722984" w:rsidRPr="00B72F71" w:rsidRDefault="000C64C7" w:rsidP="00722984">
    <w:pPr>
      <w:tabs>
        <w:tab w:val="center" w:pos="4320"/>
        <w:tab w:val="right" w:pos="8640"/>
      </w:tabs>
      <w:spacing w:after="0" w:line="240" w:lineRule="auto"/>
      <w:ind w:left="-1417" w:right="-1368"/>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70156CA0" wp14:editId="00F5215A">
          <wp:extent cx="7641590" cy="108585"/>
          <wp:effectExtent l="0" t="0" r="0" b="5715"/>
          <wp:docPr id="1" name="Picture 1" descr="Banda-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a-Edit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1590" cy="108585"/>
                  </a:xfrm>
                  <a:prstGeom prst="rect">
                    <a:avLst/>
                  </a:prstGeom>
                  <a:noFill/>
                  <a:ln>
                    <a:noFill/>
                  </a:ln>
                </pic:spPr>
              </pic:pic>
            </a:graphicData>
          </a:graphic>
        </wp:inline>
      </w:drawing>
    </w:r>
  </w:p>
  <w:p w:rsidR="00722984" w:rsidRPr="00B72F71" w:rsidRDefault="000C64C7" w:rsidP="00722984">
    <w:pPr>
      <w:pStyle w:val="Footer"/>
      <w:jc w:val="center"/>
      <w:rPr>
        <w:sz w:val="20"/>
        <w:szCs w:val="20"/>
      </w:rPr>
    </w:pPr>
    <w:r>
      <w:rPr>
        <w:noProof/>
        <w:sz w:val="20"/>
        <w:szCs w:val="20"/>
        <w:lang w:eastAsia="ro-RO"/>
      </w:rPr>
      <mc:AlternateContent>
        <mc:Choice Requires="wps">
          <w:drawing>
            <wp:anchor distT="0" distB="0" distL="114935" distR="114935" simplePos="0" relativeHeight="251659264" behindDoc="0" locked="0" layoutInCell="1" allowOverlap="1" wp14:anchorId="570D2A79" wp14:editId="2F234751">
              <wp:simplePos x="0" y="0"/>
              <wp:positionH relativeFrom="column">
                <wp:posOffset>-228600</wp:posOffset>
              </wp:positionH>
              <wp:positionV relativeFrom="margin">
                <wp:posOffset>9370695</wp:posOffset>
              </wp:positionV>
              <wp:extent cx="6629400" cy="552450"/>
              <wp:effectExtent l="0" t="762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984" w:rsidRDefault="004C5A22" w:rsidP="00722984">
                          <w:pPr>
                            <w:spacing w:after="0" w:line="240" w:lineRule="auto"/>
                            <w:jc w:val="center"/>
                            <w:rPr>
                              <w:rFonts w:cs="Arial"/>
                              <w:color w:val="083160"/>
                              <w:sz w:val="20"/>
                            </w:rPr>
                          </w:pPr>
                        </w:p>
                        <w:p w:rsidR="00722984" w:rsidRPr="00CB0A86" w:rsidRDefault="0068015C"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68015C"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0D2A79" id="_x0000_t202" coordsize="21600,21600" o:spt="202" path="m,l,21600r21600,l21600,xe">
              <v:stroke joinstyle="miter"/>
              <v:path gradientshapeok="t" o:connecttype="rect"/>
            </v:shapetype>
            <v:shape id="Text Box 7" o:spid="_x0000_s1027" type="#_x0000_t202" style="position:absolute;left:0;text-align:left;margin-left:-18pt;margin-top:737.85pt;width:522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UjAIAACM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" stroked="f">
              <v:fill opacity="0"/>
              <v:textbox inset="0,0,0,0">
                <w:txbxContent>
                  <w:p w:rsidR="00722984" w:rsidRDefault="0084288F" w:rsidP="00722984">
                    <w:pPr>
                      <w:spacing w:after="0" w:line="240" w:lineRule="auto"/>
                      <w:jc w:val="center"/>
                      <w:rPr>
                        <w:rFonts w:cs="Arial"/>
                        <w:color w:val="083160"/>
                        <w:sz w:val="20"/>
                      </w:rPr>
                    </w:pPr>
                  </w:p>
                  <w:p w:rsidR="00722984" w:rsidRPr="00CB0A86" w:rsidRDefault="0068015C"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68015C"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v:textbox>
              <w10:wrap anchory="margin"/>
            </v:shape>
          </w:pict>
        </mc:Fallback>
      </mc:AlternateContent>
    </w:r>
    <w:hyperlink r:id="rId3" w:history="1">
      <w:r w:rsidR="0068015C" w:rsidRPr="00B72F71">
        <w:rPr>
          <w:rStyle w:val="Hyperlink"/>
          <w:sz w:val="20"/>
          <w:szCs w:val="20"/>
        </w:rPr>
        <w:t>www.inforegio.ro</w:t>
      </w:r>
    </w:hyperlink>
  </w:p>
  <w:p w:rsidR="00722984" w:rsidRDefault="004C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22" w:rsidRDefault="004C5A22" w:rsidP="00BE52E3">
      <w:pPr>
        <w:spacing w:after="0" w:line="240" w:lineRule="auto"/>
      </w:pPr>
      <w:r>
        <w:separator/>
      </w:r>
    </w:p>
  </w:footnote>
  <w:footnote w:type="continuationSeparator" w:id="0">
    <w:p w:rsidR="004C5A22" w:rsidRDefault="004C5A22" w:rsidP="00BE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0" w:type="dxa"/>
      <w:tblCellMar>
        <w:left w:w="0" w:type="dxa"/>
        <w:right w:w="0" w:type="dxa"/>
      </w:tblCellMar>
      <w:tblLook w:val="00A0" w:firstRow="1" w:lastRow="0" w:firstColumn="1" w:lastColumn="0" w:noHBand="0" w:noVBand="0"/>
    </w:tblPr>
    <w:tblGrid>
      <w:gridCol w:w="6994"/>
      <w:gridCol w:w="3779"/>
    </w:tblGrid>
    <w:tr w:rsidR="00662EB7" w:rsidTr="009C0B7E">
      <w:trPr>
        <w:trHeight w:val="993"/>
      </w:trPr>
      <w:tc>
        <w:tcPr>
          <w:tcW w:w="6994" w:type="dxa"/>
        </w:tcPr>
        <w:p w:rsidR="00662EB7" w:rsidRPr="00CD5B3B" w:rsidRDefault="000C64C7" w:rsidP="00E7413D">
          <w:pPr>
            <w:pStyle w:val="MediumGrid21"/>
            <w:rPr>
              <w:rFonts w:cs="Times New Roman"/>
            </w:rPr>
          </w:pPr>
          <w:r>
            <w:rPr>
              <w:noProof/>
              <w:lang w:val="ro-RO" w:eastAsia="ro-RO"/>
            </w:rPr>
            <mc:AlternateContent>
              <mc:Choice Requires="wps">
                <w:drawing>
                  <wp:anchor distT="0" distB="0" distL="114300" distR="114300" simplePos="0" relativeHeight="251662336" behindDoc="0" locked="0" layoutInCell="1" allowOverlap="1" wp14:anchorId="3462751D" wp14:editId="4033B88B">
                    <wp:simplePos x="0" y="0"/>
                    <wp:positionH relativeFrom="column">
                      <wp:posOffset>1083310</wp:posOffset>
                    </wp:positionH>
                    <wp:positionV relativeFrom="paragraph">
                      <wp:posOffset>643890</wp:posOffset>
                    </wp:positionV>
                    <wp:extent cx="5701030" cy="0"/>
                    <wp:effectExtent l="6985" t="15240" r="698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CF479"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50.7pt" to="534.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" strokecolor="#17365d" strokeweight="1pt"/>
                </w:pict>
              </mc:Fallback>
            </mc:AlternateContent>
          </w:r>
          <w:r>
            <w:rPr>
              <w:rFonts w:cs="Times New Roman"/>
              <w:noProof/>
              <w:lang w:val="ro-RO" w:eastAsia="ro-RO"/>
            </w:rPr>
            <w:drawing>
              <wp:inline distT="0" distB="0" distL="0" distR="0" wp14:anchorId="1B3B92A0" wp14:editId="5774CDB4">
                <wp:extent cx="4398010" cy="8820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8010" cy="882015"/>
                        </a:xfrm>
                        <a:prstGeom prst="rect">
                          <a:avLst/>
                        </a:prstGeom>
                        <a:noFill/>
                        <a:ln>
                          <a:noFill/>
                        </a:ln>
                      </pic:spPr>
                    </pic:pic>
                  </a:graphicData>
                </a:graphic>
              </wp:inline>
            </w:drawing>
          </w:r>
        </w:p>
      </w:tc>
      <w:tc>
        <w:tcPr>
          <w:tcW w:w="3779" w:type="dxa"/>
          <w:vAlign w:val="center"/>
        </w:tcPr>
        <w:p w:rsidR="00662EB7" w:rsidRDefault="004C5A22" w:rsidP="00E7413D">
          <w:pPr>
            <w:pStyle w:val="MediumGrid21"/>
            <w:jc w:val="right"/>
            <w:rPr>
              <w:rFonts w:cs="Times New Roman"/>
            </w:rPr>
          </w:pPr>
        </w:p>
        <w:p w:rsidR="00662EB7" w:rsidRDefault="004C5A22" w:rsidP="00E7413D">
          <w:pPr>
            <w:pStyle w:val="MediumGrid21"/>
            <w:jc w:val="right"/>
            <w:rPr>
              <w:rFonts w:cs="Times New Roman"/>
            </w:rPr>
          </w:pPr>
        </w:p>
        <w:p w:rsidR="00662EB7" w:rsidRDefault="004C5A22" w:rsidP="00E7413D">
          <w:pPr>
            <w:pStyle w:val="MediumGrid21"/>
            <w:jc w:val="right"/>
            <w:rPr>
              <w:rFonts w:cs="Times New Roman"/>
            </w:rPr>
          </w:pPr>
        </w:p>
      </w:tc>
    </w:tr>
  </w:tbl>
  <w:p w:rsidR="00033F0F" w:rsidRDefault="004C5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0" w:type="dxa"/>
      <w:tblCellMar>
        <w:left w:w="0" w:type="dxa"/>
        <w:right w:w="0" w:type="dxa"/>
      </w:tblCellMar>
      <w:tblLook w:val="00A0" w:firstRow="1" w:lastRow="0" w:firstColumn="1" w:lastColumn="0" w:noHBand="0" w:noVBand="0"/>
    </w:tblPr>
    <w:tblGrid>
      <w:gridCol w:w="6994"/>
      <w:gridCol w:w="3779"/>
    </w:tblGrid>
    <w:tr w:rsidR="00ED0439" w:rsidTr="00A8224A">
      <w:tc>
        <w:tcPr>
          <w:tcW w:w="6994" w:type="dxa"/>
        </w:tcPr>
        <w:p w:rsidR="00ED0439" w:rsidRPr="00CD5B3B" w:rsidRDefault="000C64C7" w:rsidP="00BE52E3">
          <w:pPr>
            <w:pStyle w:val="MediumGrid21"/>
            <w:jc w:val="right"/>
            <w:rPr>
              <w:rFonts w:cs="Times New Roman"/>
            </w:rPr>
          </w:pPr>
          <w:r>
            <w:rPr>
              <w:noProof/>
              <w:lang w:val="ro-RO" w:eastAsia="ro-RO"/>
            </w:rPr>
            <mc:AlternateContent>
              <mc:Choice Requires="wps">
                <w:drawing>
                  <wp:anchor distT="0" distB="0" distL="114300" distR="114300" simplePos="0" relativeHeight="251661312" behindDoc="0" locked="0" layoutInCell="1" allowOverlap="1" wp14:anchorId="013C075C" wp14:editId="76F2FAB5">
                    <wp:simplePos x="0" y="0"/>
                    <wp:positionH relativeFrom="column">
                      <wp:posOffset>1083310</wp:posOffset>
                    </wp:positionH>
                    <wp:positionV relativeFrom="paragraph">
                      <wp:posOffset>643890</wp:posOffset>
                    </wp:positionV>
                    <wp:extent cx="5701030" cy="0"/>
                    <wp:effectExtent l="6985" t="15240" r="698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48B7E"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50.7pt" to="534.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" strokecolor="#17365d" strokeweight="1pt"/>
                </w:pict>
              </mc:Fallback>
            </mc:AlternateContent>
          </w:r>
          <w:r>
            <w:rPr>
              <w:rFonts w:cs="Times New Roman"/>
              <w:noProof/>
              <w:lang w:val="ro-RO" w:eastAsia="ro-RO"/>
            </w:rPr>
            <w:drawing>
              <wp:inline distT="0" distB="0" distL="0" distR="0" wp14:anchorId="6288EAFD" wp14:editId="39ABCD3E">
                <wp:extent cx="4398010" cy="8820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8010" cy="882015"/>
                        </a:xfrm>
                        <a:prstGeom prst="rect">
                          <a:avLst/>
                        </a:prstGeom>
                        <a:noFill/>
                        <a:ln>
                          <a:noFill/>
                        </a:ln>
                      </pic:spPr>
                    </pic:pic>
                  </a:graphicData>
                </a:graphic>
              </wp:inline>
            </w:drawing>
          </w:r>
        </w:p>
      </w:tc>
      <w:tc>
        <w:tcPr>
          <w:tcW w:w="3779" w:type="dxa"/>
          <w:vAlign w:val="center"/>
        </w:tcPr>
        <w:p w:rsidR="00ED0439" w:rsidRDefault="004C5A22" w:rsidP="008B7F9D">
          <w:pPr>
            <w:pStyle w:val="MediumGrid21"/>
            <w:jc w:val="right"/>
            <w:rPr>
              <w:rFonts w:cs="Times New Roman"/>
            </w:rPr>
          </w:pPr>
        </w:p>
        <w:p w:rsidR="00ED0439" w:rsidRDefault="004C5A22" w:rsidP="008B7F9D">
          <w:pPr>
            <w:pStyle w:val="MediumGrid21"/>
            <w:jc w:val="right"/>
            <w:rPr>
              <w:rFonts w:cs="Times New Roman"/>
            </w:rPr>
          </w:pPr>
        </w:p>
        <w:p w:rsidR="00ED0439" w:rsidRDefault="004C5A22" w:rsidP="008B7F9D">
          <w:pPr>
            <w:pStyle w:val="MediumGrid21"/>
            <w:jc w:val="right"/>
            <w:rPr>
              <w:rFonts w:cs="Times New Roman"/>
            </w:rPr>
          </w:pPr>
        </w:p>
      </w:tc>
    </w:tr>
  </w:tbl>
  <w:p w:rsidR="00ED0439" w:rsidRPr="00BE52E3" w:rsidRDefault="00BE52E3" w:rsidP="00BE52E3">
    <w:pPr>
      <w:pStyle w:val="Heading2"/>
      <w:ind w:left="851" w:right="-1"/>
      <w:jc w:val="right"/>
      <w:rPr>
        <w:rFonts w:ascii="Trebuchet MS" w:hAnsi="Trebuchet MS"/>
        <w:b/>
        <w:i w:val="0"/>
        <w:szCs w:val="22"/>
        <w:lang w:val="ro-RO"/>
      </w:rPr>
    </w:pPr>
    <w:r w:rsidRPr="00ED797C">
      <w:rPr>
        <w:rFonts w:ascii="Trebuchet MS" w:hAnsi="Trebuchet MS"/>
        <w:b/>
        <w:i w:val="0"/>
        <w:szCs w:val="22"/>
        <w:lang w:val="ro-RO"/>
      </w:rPr>
      <w:t>25 martie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font291" w:hAnsi="font291" w:cs="font291"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font291" w:hAnsi="font291" w:cs="font291"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font291" w:hAnsi="font291" w:cs="font291"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F753BE5"/>
    <w:multiLevelType w:val="hybridMultilevel"/>
    <w:tmpl w:val="F6C4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41C72"/>
    <w:multiLevelType w:val="hybridMultilevel"/>
    <w:tmpl w:val="63FC4E7C"/>
    <w:lvl w:ilvl="0" w:tplc="211C9F50">
      <w:numFmt w:val="bullet"/>
      <w:lvlText w:val="•"/>
      <w:lvlJc w:val="left"/>
      <w:pPr>
        <w:ind w:left="7086" w:hanging="564"/>
      </w:pPr>
      <w:rPr>
        <w:rFonts w:ascii="Trebuchet MS" w:eastAsia="Calibri" w:hAnsi="Trebuchet MS" w:cs="Times New Roman" w:hint="default"/>
      </w:rPr>
    </w:lvl>
    <w:lvl w:ilvl="1" w:tplc="04180003">
      <w:start w:val="1"/>
      <w:numFmt w:val="bullet"/>
      <w:lvlText w:val="o"/>
      <w:lvlJc w:val="left"/>
      <w:pPr>
        <w:ind w:left="7602" w:hanging="360"/>
      </w:pPr>
      <w:rPr>
        <w:rFonts w:ascii="Courier New" w:hAnsi="Courier New" w:cs="Courier New" w:hint="default"/>
      </w:rPr>
    </w:lvl>
    <w:lvl w:ilvl="2" w:tplc="04180005" w:tentative="1">
      <w:start w:val="1"/>
      <w:numFmt w:val="bullet"/>
      <w:lvlText w:val=""/>
      <w:lvlJc w:val="left"/>
      <w:pPr>
        <w:ind w:left="8322" w:hanging="360"/>
      </w:pPr>
      <w:rPr>
        <w:rFonts w:ascii="Wingdings" w:hAnsi="Wingdings" w:hint="default"/>
      </w:rPr>
    </w:lvl>
    <w:lvl w:ilvl="3" w:tplc="04180001" w:tentative="1">
      <w:start w:val="1"/>
      <w:numFmt w:val="bullet"/>
      <w:lvlText w:val=""/>
      <w:lvlJc w:val="left"/>
      <w:pPr>
        <w:ind w:left="9042" w:hanging="360"/>
      </w:pPr>
      <w:rPr>
        <w:rFonts w:ascii="Symbol" w:hAnsi="Symbol" w:hint="default"/>
      </w:rPr>
    </w:lvl>
    <w:lvl w:ilvl="4" w:tplc="04180003" w:tentative="1">
      <w:start w:val="1"/>
      <w:numFmt w:val="bullet"/>
      <w:lvlText w:val="o"/>
      <w:lvlJc w:val="left"/>
      <w:pPr>
        <w:ind w:left="9762" w:hanging="360"/>
      </w:pPr>
      <w:rPr>
        <w:rFonts w:ascii="Courier New" w:hAnsi="Courier New" w:cs="Courier New" w:hint="default"/>
      </w:rPr>
    </w:lvl>
    <w:lvl w:ilvl="5" w:tplc="04180005" w:tentative="1">
      <w:start w:val="1"/>
      <w:numFmt w:val="bullet"/>
      <w:lvlText w:val=""/>
      <w:lvlJc w:val="left"/>
      <w:pPr>
        <w:ind w:left="10482" w:hanging="360"/>
      </w:pPr>
      <w:rPr>
        <w:rFonts w:ascii="Wingdings" w:hAnsi="Wingdings" w:hint="default"/>
      </w:rPr>
    </w:lvl>
    <w:lvl w:ilvl="6" w:tplc="04180001" w:tentative="1">
      <w:start w:val="1"/>
      <w:numFmt w:val="bullet"/>
      <w:lvlText w:val=""/>
      <w:lvlJc w:val="left"/>
      <w:pPr>
        <w:ind w:left="11202" w:hanging="360"/>
      </w:pPr>
      <w:rPr>
        <w:rFonts w:ascii="Symbol" w:hAnsi="Symbol" w:hint="default"/>
      </w:rPr>
    </w:lvl>
    <w:lvl w:ilvl="7" w:tplc="04180003" w:tentative="1">
      <w:start w:val="1"/>
      <w:numFmt w:val="bullet"/>
      <w:lvlText w:val="o"/>
      <w:lvlJc w:val="left"/>
      <w:pPr>
        <w:ind w:left="11922" w:hanging="360"/>
      </w:pPr>
      <w:rPr>
        <w:rFonts w:ascii="Courier New" w:hAnsi="Courier New" w:cs="Courier New" w:hint="default"/>
      </w:rPr>
    </w:lvl>
    <w:lvl w:ilvl="8" w:tplc="04180005" w:tentative="1">
      <w:start w:val="1"/>
      <w:numFmt w:val="bullet"/>
      <w:lvlText w:val=""/>
      <w:lvlJc w:val="left"/>
      <w:pPr>
        <w:ind w:left="1264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7"/>
    <w:rsid w:val="000C64C7"/>
    <w:rsid w:val="000F30F0"/>
    <w:rsid w:val="00130C00"/>
    <w:rsid w:val="001E3751"/>
    <w:rsid w:val="003B1013"/>
    <w:rsid w:val="00421FDA"/>
    <w:rsid w:val="004460A1"/>
    <w:rsid w:val="004C5A22"/>
    <w:rsid w:val="00622BA4"/>
    <w:rsid w:val="0068015C"/>
    <w:rsid w:val="0075275F"/>
    <w:rsid w:val="007D3B9B"/>
    <w:rsid w:val="009E2297"/>
    <w:rsid w:val="00A908D0"/>
    <w:rsid w:val="00BE52E3"/>
    <w:rsid w:val="00CA3698"/>
    <w:rsid w:val="00DD2CB6"/>
    <w:rsid w:val="00E25D21"/>
    <w:rsid w:val="00E34803"/>
    <w:rsid w:val="00E35805"/>
    <w:rsid w:val="00E4135D"/>
    <w:rsid w:val="00ED797C"/>
    <w:rsid w:val="00FC66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C7"/>
    <w:pPr>
      <w:spacing w:after="200" w:line="276" w:lineRule="auto"/>
    </w:pPr>
    <w:rPr>
      <w:rFonts w:ascii="Calibri" w:eastAsia="Calibri" w:hAnsi="Calibri" w:cs="Times New Roman"/>
    </w:rPr>
  </w:style>
  <w:style w:type="paragraph" w:styleId="Heading2">
    <w:name w:val="heading 2"/>
    <w:basedOn w:val="Normal"/>
    <w:next w:val="Normal"/>
    <w:link w:val="Heading2Char"/>
    <w:unhideWhenUsed/>
    <w:qFormat/>
    <w:rsid w:val="000C64C7"/>
    <w:pPr>
      <w:keepNext/>
      <w:spacing w:after="0" w:line="240" w:lineRule="auto"/>
      <w:outlineLvl w:val="1"/>
    </w:pPr>
    <w:rPr>
      <w:rFonts w:ascii="Arial" w:eastAsia="Times New Roman" w:hAnsi="Arial"/>
      <w:i/>
      <w:i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4C7"/>
    <w:rPr>
      <w:rFonts w:ascii="Arial" w:eastAsia="Times New Roman" w:hAnsi="Arial" w:cs="Times New Roman"/>
      <w:i/>
      <w:iCs/>
      <w:szCs w:val="24"/>
      <w:lang w:val="x-none"/>
    </w:rPr>
  </w:style>
  <w:style w:type="paragraph" w:styleId="Header">
    <w:name w:val="header"/>
    <w:aliases w:val=" Char Char"/>
    <w:basedOn w:val="Normal"/>
    <w:link w:val="HeaderChar"/>
    <w:unhideWhenUsed/>
    <w:rsid w:val="000C64C7"/>
    <w:pPr>
      <w:tabs>
        <w:tab w:val="center" w:pos="4536"/>
        <w:tab w:val="right" w:pos="9072"/>
      </w:tabs>
      <w:spacing w:after="0" w:line="240" w:lineRule="auto"/>
    </w:pPr>
  </w:style>
  <w:style w:type="character" w:customStyle="1" w:styleId="HeaderChar">
    <w:name w:val="Header Char"/>
    <w:aliases w:val=" Char Char Char"/>
    <w:basedOn w:val="DefaultParagraphFont"/>
    <w:link w:val="Header"/>
    <w:rsid w:val="000C64C7"/>
    <w:rPr>
      <w:rFonts w:ascii="Calibri" w:eastAsia="Calibri" w:hAnsi="Calibri" w:cs="Times New Roman"/>
    </w:rPr>
  </w:style>
  <w:style w:type="paragraph" w:styleId="Footer">
    <w:name w:val="footer"/>
    <w:basedOn w:val="Normal"/>
    <w:link w:val="FooterChar"/>
    <w:uiPriority w:val="99"/>
    <w:unhideWhenUsed/>
    <w:rsid w:val="000C64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4C7"/>
    <w:rPr>
      <w:rFonts w:ascii="Calibri" w:eastAsia="Calibri" w:hAnsi="Calibri" w:cs="Times New Roman"/>
    </w:rPr>
  </w:style>
  <w:style w:type="character" w:styleId="PageNumber">
    <w:name w:val="page number"/>
    <w:basedOn w:val="DefaultParagraphFont"/>
    <w:rsid w:val="000C64C7"/>
  </w:style>
  <w:style w:type="paragraph" w:styleId="Title">
    <w:name w:val="Title"/>
    <w:basedOn w:val="Normal"/>
    <w:link w:val="TitleChar"/>
    <w:qFormat/>
    <w:rsid w:val="000C64C7"/>
    <w:pPr>
      <w:spacing w:after="0" w:line="240" w:lineRule="auto"/>
      <w:jc w:val="center"/>
    </w:pPr>
    <w:rPr>
      <w:b/>
      <w:bCs/>
      <w:sz w:val="24"/>
      <w:szCs w:val="24"/>
      <w:lang w:val="en-US"/>
    </w:rPr>
  </w:style>
  <w:style w:type="character" w:customStyle="1" w:styleId="TitleChar">
    <w:name w:val="Title Char"/>
    <w:basedOn w:val="DefaultParagraphFont"/>
    <w:link w:val="Title"/>
    <w:rsid w:val="000C64C7"/>
    <w:rPr>
      <w:rFonts w:ascii="Calibri" w:eastAsia="Calibri" w:hAnsi="Calibri" w:cs="Times New Roman"/>
      <w:b/>
      <w:bCs/>
      <w:sz w:val="24"/>
      <w:szCs w:val="24"/>
      <w:lang w:val="en-US"/>
    </w:rPr>
  </w:style>
  <w:style w:type="character" w:styleId="Hyperlink">
    <w:name w:val="Hyperlink"/>
    <w:uiPriority w:val="99"/>
    <w:unhideWhenUsed/>
    <w:rsid w:val="000C64C7"/>
    <w:rPr>
      <w:color w:val="0000FF"/>
      <w:u w:val="single"/>
    </w:rPr>
  </w:style>
  <w:style w:type="paragraph" w:customStyle="1" w:styleId="MediumGrid21">
    <w:name w:val="Medium Grid 21"/>
    <w:uiPriority w:val="99"/>
    <w:rsid w:val="000C64C7"/>
    <w:rPr>
      <w:rFonts w:eastAsia="MS Mincho" w:cs="Trebuchet MS"/>
      <w:sz w:val="18"/>
      <w:szCs w:val="18"/>
      <w:lang w:val="en-US"/>
    </w:rPr>
  </w:style>
  <w:style w:type="paragraph" w:styleId="BalloonText">
    <w:name w:val="Balloon Text"/>
    <w:basedOn w:val="Normal"/>
    <w:link w:val="BalloonTextChar"/>
    <w:uiPriority w:val="99"/>
    <w:semiHidden/>
    <w:unhideWhenUsed/>
    <w:rsid w:val="000C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C7"/>
    <w:rPr>
      <w:rFonts w:ascii="Tahoma" w:eastAsia="Calibri" w:hAnsi="Tahoma" w:cs="Tahoma"/>
      <w:sz w:val="16"/>
      <w:szCs w:val="16"/>
    </w:rPr>
  </w:style>
  <w:style w:type="paragraph" w:styleId="ListParagraph">
    <w:name w:val="List Paragraph"/>
    <w:basedOn w:val="Normal"/>
    <w:uiPriority w:val="34"/>
    <w:qFormat/>
    <w:rsid w:val="00BE5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C7"/>
    <w:pPr>
      <w:spacing w:after="200" w:line="276" w:lineRule="auto"/>
    </w:pPr>
    <w:rPr>
      <w:rFonts w:ascii="Calibri" w:eastAsia="Calibri" w:hAnsi="Calibri" w:cs="Times New Roman"/>
    </w:rPr>
  </w:style>
  <w:style w:type="paragraph" w:styleId="Heading2">
    <w:name w:val="heading 2"/>
    <w:basedOn w:val="Normal"/>
    <w:next w:val="Normal"/>
    <w:link w:val="Heading2Char"/>
    <w:unhideWhenUsed/>
    <w:qFormat/>
    <w:rsid w:val="000C64C7"/>
    <w:pPr>
      <w:keepNext/>
      <w:spacing w:after="0" w:line="240" w:lineRule="auto"/>
      <w:outlineLvl w:val="1"/>
    </w:pPr>
    <w:rPr>
      <w:rFonts w:ascii="Arial" w:eastAsia="Times New Roman" w:hAnsi="Arial"/>
      <w:i/>
      <w:i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4C7"/>
    <w:rPr>
      <w:rFonts w:ascii="Arial" w:eastAsia="Times New Roman" w:hAnsi="Arial" w:cs="Times New Roman"/>
      <w:i/>
      <w:iCs/>
      <w:szCs w:val="24"/>
      <w:lang w:val="x-none"/>
    </w:rPr>
  </w:style>
  <w:style w:type="paragraph" w:styleId="Header">
    <w:name w:val="header"/>
    <w:aliases w:val=" Char Char"/>
    <w:basedOn w:val="Normal"/>
    <w:link w:val="HeaderChar"/>
    <w:unhideWhenUsed/>
    <w:rsid w:val="000C64C7"/>
    <w:pPr>
      <w:tabs>
        <w:tab w:val="center" w:pos="4536"/>
        <w:tab w:val="right" w:pos="9072"/>
      </w:tabs>
      <w:spacing w:after="0" w:line="240" w:lineRule="auto"/>
    </w:pPr>
  </w:style>
  <w:style w:type="character" w:customStyle="1" w:styleId="HeaderChar">
    <w:name w:val="Header Char"/>
    <w:aliases w:val=" Char Char Char"/>
    <w:basedOn w:val="DefaultParagraphFont"/>
    <w:link w:val="Header"/>
    <w:rsid w:val="000C64C7"/>
    <w:rPr>
      <w:rFonts w:ascii="Calibri" w:eastAsia="Calibri" w:hAnsi="Calibri" w:cs="Times New Roman"/>
    </w:rPr>
  </w:style>
  <w:style w:type="paragraph" w:styleId="Footer">
    <w:name w:val="footer"/>
    <w:basedOn w:val="Normal"/>
    <w:link w:val="FooterChar"/>
    <w:uiPriority w:val="99"/>
    <w:unhideWhenUsed/>
    <w:rsid w:val="000C64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4C7"/>
    <w:rPr>
      <w:rFonts w:ascii="Calibri" w:eastAsia="Calibri" w:hAnsi="Calibri" w:cs="Times New Roman"/>
    </w:rPr>
  </w:style>
  <w:style w:type="character" w:styleId="PageNumber">
    <w:name w:val="page number"/>
    <w:basedOn w:val="DefaultParagraphFont"/>
    <w:rsid w:val="000C64C7"/>
  </w:style>
  <w:style w:type="paragraph" w:styleId="Title">
    <w:name w:val="Title"/>
    <w:basedOn w:val="Normal"/>
    <w:link w:val="TitleChar"/>
    <w:qFormat/>
    <w:rsid w:val="000C64C7"/>
    <w:pPr>
      <w:spacing w:after="0" w:line="240" w:lineRule="auto"/>
      <w:jc w:val="center"/>
    </w:pPr>
    <w:rPr>
      <w:b/>
      <w:bCs/>
      <w:sz w:val="24"/>
      <w:szCs w:val="24"/>
      <w:lang w:val="en-US"/>
    </w:rPr>
  </w:style>
  <w:style w:type="character" w:customStyle="1" w:styleId="TitleChar">
    <w:name w:val="Title Char"/>
    <w:basedOn w:val="DefaultParagraphFont"/>
    <w:link w:val="Title"/>
    <w:rsid w:val="000C64C7"/>
    <w:rPr>
      <w:rFonts w:ascii="Calibri" w:eastAsia="Calibri" w:hAnsi="Calibri" w:cs="Times New Roman"/>
      <w:b/>
      <w:bCs/>
      <w:sz w:val="24"/>
      <w:szCs w:val="24"/>
      <w:lang w:val="en-US"/>
    </w:rPr>
  </w:style>
  <w:style w:type="character" w:styleId="Hyperlink">
    <w:name w:val="Hyperlink"/>
    <w:uiPriority w:val="99"/>
    <w:unhideWhenUsed/>
    <w:rsid w:val="000C64C7"/>
    <w:rPr>
      <w:color w:val="0000FF"/>
      <w:u w:val="single"/>
    </w:rPr>
  </w:style>
  <w:style w:type="paragraph" w:customStyle="1" w:styleId="MediumGrid21">
    <w:name w:val="Medium Grid 21"/>
    <w:uiPriority w:val="99"/>
    <w:rsid w:val="000C64C7"/>
    <w:rPr>
      <w:rFonts w:eastAsia="MS Mincho" w:cs="Trebuchet MS"/>
      <w:sz w:val="18"/>
      <w:szCs w:val="18"/>
      <w:lang w:val="en-US"/>
    </w:rPr>
  </w:style>
  <w:style w:type="paragraph" w:styleId="BalloonText">
    <w:name w:val="Balloon Text"/>
    <w:basedOn w:val="Normal"/>
    <w:link w:val="BalloonTextChar"/>
    <w:uiPriority w:val="99"/>
    <w:semiHidden/>
    <w:unhideWhenUsed/>
    <w:rsid w:val="000C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C7"/>
    <w:rPr>
      <w:rFonts w:ascii="Tahoma" w:eastAsia="Calibri" w:hAnsi="Tahoma" w:cs="Tahoma"/>
      <w:sz w:val="16"/>
      <w:szCs w:val="16"/>
    </w:rPr>
  </w:style>
  <w:style w:type="paragraph" w:styleId="ListParagraph">
    <w:name w:val="List Paragraph"/>
    <w:basedOn w:val="Normal"/>
    <w:uiPriority w:val="34"/>
    <w:qFormat/>
    <w:rsid w:val="00BE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egio.ro/ro/informare-si-publicitate/identitate-vizuala.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foregio.ro/ro/por-2014-2020/ghid-2014-202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egio.ro/ro/por-2014-2020/ghid-2014-2020.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foregio.ro/ro/por-2014-2020/apeluri-proiecte.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nforegio.ro" TargetMode="External"/><Relationship Id="rId14" Type="http://schemas.openxmlformats.org/officeDocument/2006/relationships/hyperlink" Target="http://www.inforegio.ro/ro/por-2014-2020/documente-de-programare.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nforegio.ro" TargetMode="External"/><Relationship Id="rId2" Type="http://schemas.openxmlformats.org/officeDocument/2006/relationships/image" Target="media/image3.em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inforegio.ro" TargetMode="External"/><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ABA3-2D4D-4497-82D4-43BBD5D3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1429</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TOMA</dc:creator>
  <cp:lastModifiedBy>MDRAP - Birou Presa</cp:lastModifiedBy>
  <cp:revision>8</cp:revision>
  <dcterms:created xsi:type="dcterms:W3CDTF">2016-03-25T09:01:00Z</dcterms:created>
  <dcterms:modified xsi:type="dcterms:W3CDTF">2016-03-25T14:02:00Z</dcterms:modified>
</cp:coreProperties>
</file>